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740" w:rsidRDefault="00315054" w14:paraId="16DF3E01" w14:textId="099E2A81">
      <w:pPr>
        <w:pStyle w:val="P68B1DB1-Textkrper1"/>
        <w:tabs>
          <w:tab w:val="left" w:pos="567"/>
          <w:tab w:val="left" w:pos="10773"/>
        </w:tabs>
        <w:ind w:left="-709" w:right="-427"/>
        <w:jc w:val="center"/>
      </w:pPr>
      <w:r>
        <w:t>Caso práctico</w:t>
      </w:r>
      <w:r w:rsidR="00352913">
        <w:t>:</w:t>
      </w:r>
    </w:p>
    <w:p w:rsidR="00BF5740" w:rsidRDefault="00352913" w14:paraId="2A60A73F" w14:textId="5A6353BB">
      <w:pPr>
        <w:pStyle w:val="P68B1DB1-Textkrper2"/>
        <w:tabs>
          <w:tab w:val="left" w:pos="567"/>
          <w:tab w:val="left" w:pos="10773"/>
        </w:tabs>
        <w:ind w:left="-709" w:right="-427"/>
        <w:jc w:val="center"/>
        <w:rPr>
          <w:rFonts w:ascii="Helvetica neue" w:hAnsi="Helvetica neue" w:cstheme="minorHAnsi"/>
        </w:rPr>
      </w:pPr>
      <w:r>
        <w:rPr>
          <w:rFonts w:ascii="Helvetica neue" w:hAnsi="Helvetica neue" w:cstheme="minorHAnsi"/>
        </w:rPr>
        <w:t>Gore-Tex</w:t>
      </w:r>
      <w:r>
        <w:rPr>
          <w:rFonts w:ascii="Arial" w:hAnsi="Arial" w:cs="Arial"/>
          <w:vertAlign w:val="superscript"/>
        </w:rPr>
        <w:t>®</w:t>
      </w:r>
      <w:r>
        <w:rPr>
          <w:rFonts w:ascii="Helvetica neue" w:hAnsi="Helvetica neue" w:cstheme="minorHAnsi"/>
        </w:rPr>
        <w:t>: Organización innovadora y cultura contemporánea</w:t>
      </w:r>
    </w:p>
    <w:p w:rsidR="00BF5740" w:rsidRDefault="00BF5740" w14:paraId="765BDD30" w14:textId="77777777">
      <w:pPr>
        <w:ind w:left="567" w:hanging="425"/>
        <w:jc w:val="center"/>
        <w:rPr>
          <w:rFonts w:ascii="Helvetica neue" w:hAnsi="Helvetica neue" w:cstheme="majorHAnsi"/>
          <w:b/>
          <w:color w:val="4D94B7"/>
          <w:sz w:val="40"/>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00BF5740"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BF5740" w:rsidRDefault="00352913" w14:paraId="727B59D1" w14:textId="77777777">
            <w:pPr>
              <w:pStyle w:val="P68B1DB1-Standard3"/>
            </w:pPr>
            <w:r>
              <w:t>Palabras clave (meta tag)</w:t>
            </w:r>
          </w:p>
        </w:tc>
        <w:tc>
          <w:tcPr>
            <w:tcW w:w="6642" w:type="dxa"/>
            <w:shd w:val="clear" w:color="auto" w:fill="FFFFFF" w:themeFill="background1"/>
          </w:tcPr>
          <w:p w:rsidR="00BF5740" w:rsidRDefault="00352913" w14:paraId="01319779" w14:textId="081E163C">
            <w:pPr>
              <w:pStyle w:val="P68B1DB1-Standard4"/>
            </w:pPr>
            <w:r>
              <w:t>Gore-Tex, innovación intraempresarial</w:t>
            </w:r>
          </w:p>
        </w:tc>
      </w:tr>
      <w:tr w:rsidR="00BF5740"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BF5740" w:rsidRDefault="00352913" w14:paraId="3D5C6F61" w14:textId="070DFD45">
            <w:pPr>
              <w:pStyle w:val="P68B1DB1-Standard3"/>
            </w:pPr>
            <w:r>
              <w:t>Proporcionado por</w:t>
            </w:r>
          </w:p>
        </w:tc>
        <w:tc>
          <w:tcPr>
            <w:tcW w:w="6642" w:type="dxa"/>
            <w:shd w:val="clear" w:color="auto" w:fill="FFFFFF" w:themeFill="background1"/>
          </w:tcPr>
          <w:p w:rsidR="00BF5740" w:rsidRDefault="00352913" w14:paraId="1E29AC1D" w14:textId="6E816960">
            <w:pPr>
              <w:pStyle w:val="P68B1DB1-Standard5"/>
            </w:pPr>
            <w:r>
              <w:t>Universidad de Dubrovnik</w:t>
            </w:r>
          </w:p>
        </w:tc>
      </w:tr>
      <w:tr w:rsidR="00BF5740"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BF5740" w:rsidRDefault="00352913" w14:paraId="242772F7" w14:textId="22389382">
            <w:pPr>
              <w:pStyle w:val="P68B1DB1-Standard3"/>
            </w:pPr>
            <w:r>
              <w:t>Idioma</w:t>
            </w:r>
          </w:p>
        </w:tc>
        <w:tc>
          <w:tcPr>
            <w:tcW w:w="6642" w:type="dxa"/>
            <w:shd w:val="clear" w:color="auto" w:fill="FFFFFF" w:themeFill="background1"/>
          </w:tcPr>
          <w:p w:rsidR="00BF5740" w:rsidRDefault="00315054" w14:paraId="18723BA9" w14:textId="46C90307">
            <w:pPr>
              <w:pStyle w:val="P68B1DB1-Standard5"/>
            </w:pPr>
            <w:r>
              <w:t>Español</w:t>
            </w:r>
          </w:p>
        </w:tc>
      </w:tr>
      <w:tr w:rsidR="00BF5740"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BF5740" w:rsidRDefault="00315054" w14:paraId="6142E15C" w14:textId="5B235AC8">
            <w:pPr>
              <w:pStyle w:val="P68B1DB1-Standard3"/>
              <w:jc w:val="both"/>
              <w:textAlignment w:val="baseline"/>
            </w:pPr>
            <w:r>
              <w:t>Caso práctico</w:t>
            </w:r>
          </w:p>
        </w:tc>
      </w:tr>
      <w:tr w:rsidR="00BF5740"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00BF5740" w:rsidRDefault="00352913" w14:paraId="6A456A15" w14:textId="781C482B">
            <w:pPr>
              <w:pStyle w:val="P68B1DB1-Listenabsatz6"/>
            </w:pPr>
            <w:r>
              <w:t xml:space="preserve">Este estudio de caso explora el papel de la gestión organizacional y la cultura dentro de la organización altamente innovadora W.L.Gore y sus asociados, conocidos por muchos de sus productos, como los famosos tejidos Gore-Tex que hacen que nuestra ropa se seque y permita que la piel respire. La organización valora el estilo anti-gestión con sus empleados participando en la propiedad, minimizando la gestión y enfatizando la acción y la creatividad. La compañía emplea a más de 7000 asociados en 45 ubicaciones en todo el mundo. A menudo es elogiado como modelo a seguir de gestión de la innovación. </w:t>
            </w:r>
          </w:p>
          <w:p w:rsidR="00BF5740" w:rsidRDefault="00BF5740" w14:paraId="1AD9BA75" w14:textId="77777777">
            <w:pPr>
              <w:pStyle w:val="Listenabsatz"/>
              <w:rPr>
                <w:rFonts w:ascii="Helvetica neue" w:hAnsi="Helvetica neue" w:cstheme="minorHAnsi"/>
              </w:rPr>
            </w:pPr>
          </w:p>
          <w:p w:rsidR="00BF5740" w:rsidRDefault="00352913" w14:paraId="04038571" w14:textId="60FEC63B">
            <w:pPr>
              <w:pStyle w:val="P68B1DB1-Listenabsatz6"/>
            </w:pPr>
            <w:r>
              <w:t xml:space="preserve">La empresa fomenta la innovación al incluir a aquellos que participan estrechamente en el proyecto en la toma de decisiones. Los equipos están organizados y los líderes son elegidos </w:t>
            </w:r>
            <w:r w:rsidR="007B1342">
              <w:t>de acuerdo</w:t>
            </w:r>
            <w:r>
              <w:t xml:space="preserve"> a las oportunidades. La organización se basa en una estructura organizativa plana sin cadenas de toma de decisiones o canales de comunicación predefinidos. Los miembros del equipo multidisciplinario se comunican directamente e informan a sus miembros. Los nuevos empleados son dirigidos por patrocinadores y dirigidos a través de la comprensión de las oportunidades y los objetivos hacia proyectos que coincidan con sus habilidades. El camino para liderar y definir el proyecto está abierto a cualquier persona. Los asociados son asistidos por patrocinadores en los esfuerzos por lograr la realización personal en la contribución a la empresa. Los líderes emergen a través de la demostración de conocimientos, habilidades o experiencia únicos que contribuyen al objetivo del negocio. Los asociados se dedican a </w:t>
            </w:r>
            <w:r w:rsidR="007B1342">
              <w:t>varios</w:t>
            </w:r>
            <w:r>
              <w:t xml:space="preserve"> objetivos principales: libertad de estímulo, asistencia, crecimiento conjunto a través del conocimiento, la equidad, la responsabilidad y la consulta con otros asociados. </w:t>
            </w:r>
          </w:p>
          <w:p w:rsidR="00BF5740" w:rsidRDefault="00BF5740" w14:paraId="0F035C04" w14:textId="77777777">
            <w:pPr>
              <w:pStyle w:val="Listenabsatz"/>
              <w:rPr>
                <w:rFonts w:ascii="Helvetica neue" w:hAnsi="Helvetica neue" w:cstheme="minorHAnsi"/>
              </w:rPr>
            </w:pPr>
          </w:p>
          <w:p w:rsidR="00BF5740" w:rsidRDefault="00352913" w14:paraId="1623036A" w14:textId="0F9AAC76">
            <w:pPr>
              <w:pStyle w:val="P68B1DB1-Listenabsatz6"/>
            </w:pPr>
            <w:r>
              <w:t>La cultura organizacional tiene como objetivo evitar limitar la creatividad a través de la jerarquía convencional. Los empleados tienen una libertad considerable en las siguientes oportunidades corporativas y cada individuo tiene tres patrocinadores: un</w:t>
            </w:r>
            <w:r w:rsidR="007B1342">
              <w:t>o</w:t>
            </w:r>
            <w:r>
              <w:t xml:space="preserve"> para asegurar que se reconozca cada esfuerzo de trabajo, otra para asegurar una </w:t>
            </w:r>
            <w:r w:rsidR="007B1342">
              <w:t>remuneración</w:t>
            </w:r>
            <w:r>
              <w:t xml:space="preserve"> adecuada y la tercera para introducir a las personas con la organización. Las tres funciones pueden ser realizadas por una sola persona. A través de una organización flexible del programa maximiza la equidad y la libertad de sus empleados. La organización cree que el entorno adecuado garantiza que no haya límites a lo que los individuos pueden lograr. Brinda a los empleados la oportunidad de confiar en su propio juicio, selección de proyectos y enfoque directo de los recursos. Además, </w:t>
            </w:r>
            <w:r>
              <w:lastRenderedPageBreak/>
              <w:t xml:space="preserve">los departamentos no pueden exceder el tamaño de 200 empleados para mantener la intimidad y la facilidad de comunicación en pequeños grupos de trabajo. </w:t>
            </w:r>
          </w:p>
          <w:p w:rsidR="00BF5740" w:rsidRDefault="00BF5740" w14:paraId="54268E3D" w14:textId="77777777">
            <w:pPr>
              <w:pStyle w:val="Listenabsatz"/>
              <w:rPr>
                <w:rFonts w:ascii="Helvetica neue" w:hAnsi="Helvetica neue" w:cstheme="minorHAnsi"/>
              </w:rPr>
            </w:pPr>
          </w:p>
          <w:p w:rsidR="00BF5740" w:rsidRDefault="00352913" w14:paraId="5846B84C" w14:textId="0EA6B231">
            <w:pPr>
              <w:pStyle w:val="P68B1DB1-Listenabsatz6"/>
            </w:pPr>
            <w:r>
              <w:t xml:space="preserve">El estudio muestra qué características son necesarias para que surja la innovación. El modelo organizacional único ayuda a desatar la creatividad y fomentar el trabajo en equipo en el entorno intraemprendedor y garantiza la máxima libertad y apoyo a los empleados. Muchas de sus características organizativas están presentes también en otras firmas como 3M, Hewlett Packard, etc. </w:t>
            </w:r>
          </w:p>
          <w:p w:rsidR="00BF5740" w:rsidRDefault="00352913" w14:paraId="19EC177C" w14:textId="7F81DBC8">
            <w:pPr>
              <w:pStyle w:val="P68B1DB1-Listenabsatz6"/>
            </w:pPr>
            <w:r>
              <w:t xml:space="preserve">Varias características ayudan a esta firma a mantener su éxito. i) El patrimonio de la innovación ayuda a desarrollar productos superiores. ii) Los equipos pequeños facilitan la comunicación </w:t>
            </w:r>
            <w:r w:rsidR="007B1342">
              <w:t>cara a cara</w:t>
            </w:r>
            <w:r>
              <w:t xml:space="preserve"> que facilita la toma de decisiones informada. iii) Los canales de comunicación están abiertos ya que los empleados de diferentes equipos pueden reunirse y hablar libremente de proyectos, problemas y éxitos. iv) la organización cree que la copropiedad de los empleados mejora su nivel de dedicación.  </w:t>
            </w:r>
          </w:p>
          <w:p w:rsidR="00BF5740" w:rsidRDefault="00BF5740" w14:paraId="15746645" w14:textId="1FB8A8F4">
            <w:pPr>
              <w:textAlignment w:val="baseline"/>
              <w:rPr>
                <w:rFonts w:ascii="Helvetica neue" w:hAnsi="Helvetica neue" w:cstheme="minorHAnsi"/>
                <w:b/>
              </w:rPr>
            </w:pPr>
          </w:p>
        </w:tc>
      </w:tr>
      <w:tr w:rsidR="00BF5740"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BF5740" w:rsidRDefault="00352913" w14:paraId="41D370F8" w14:textId="795C765C">
            <w:pPr>
              <w:pStyle w:val="P68B1DB1-Standard3"/>
            </w:pPr>
            <w:r>
              <w:lastRenderedPageBreak/>
              <w:t>Referencia</w:t>
            </w:r>
          </w:p>
        </w:tc>
        <w:tc>
          <w:tcPr>
            <w:tcW w:w="6642" w:type="dxa"/>
            <w:tcBorders>
              <w:top w:val="single" w:color="4D94B7" w:sz="4" w:space="0"/>
            </w:tcBorders>
            <w:shd w:val="clear" w:color="auto" w:fill="FFFFFF" w:themeFill="background1"/>
          </w:tcPr>
          <w:p w:rsidR="00BF5740" w:rsidRDefault="00970F4A" w14:paraId="67A1AE46" w14:textId="01D44FA0">
            <w:pPr>
              <w:pStyle w:val="P68B1DB1-Standard4"/>
              <w:textAlignment w:val="baseline"/>
            </w:pPr>
            <w:r w:rsidRPr="00970F4A">
              <w:t>Trott, P. (2018). Innovation Management and New Product Development. 6th edition. Pearson</w:t>
            </w:r>
          </w:p>
        </w:tc>
      </w:tr>
    </w:tbl>
    <w:p w:rsidR="00BF5740" w:rsidRDefault="00BF5740" w14:paraId="70A5E1B6" w14:textId="77777777">
      <w:pPr>
        <w:pStyle w:val="Textkrper"/>
        <w:rPr>
          <w:rFonts w:ascii="Helvetica neue" w:hAnsi="Helvetica neue"/>
        </w:rPr>
      </w:pPr>
    </w:p>
    <w:p w:rsidR="00BF5740" w:rsidRDefault="00BF5740" w14:paraId="1D7A6CEB" w14:textId="77777777">
      <w:pPr>
        <w:pStyle w:val="Textkrper"/>
        <w:rPr>
          <w:rFonts w:ascii="Helvetica neue" w:hAnsi="Helvetica neue"/>
        </w:rPr>
      </w:pPr>
    </w:p>
    <w:sectPr w:rsidR="00BF5740">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440" w:rsidRDefault="000A0440" w14:paraId="35EB7C71" w14:textId="77777777">
      <w:r>
        <w:separator/>
      </w:r>
    </w:p>
  </w:endnote>
  <w:endnote w:type="continuationSeparator" w:id="0">
    <w:p w:rsidR="000A0440" w:rsidRDefault="000A0440" w14:paraId="134995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F5740" w:rsidRDefault="00352913"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07289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BF5740" w:rsidTr="7FB601B3" w14:paraId="67534BAE" w14:textId="77777777">
      <w:tc>
        <w:tcPr>
          <w:tcW w:w="3180" w:type="dxa"/>
          <w:tcMar/>
        </w:tcPr>
        <w:p w:rsidR="00BF5740" w:rsidRDefault="00352913" w14:paraId="223DE6AB" w14:textId="7188A63E">
          <w:pPr>
            <w:pStyle w:val="P68B1DB1-Fuzeile8"/>
          </w:pPr>
          <w:r w:rsidR="7FB601B3">
            <w:drawing>
              <wp:inline wp14:editId="14A78427" wp14:anchorId="5F8C9316">
                <wp:extent cx="1885950" cy="400050"/>
                <wp:effectExtent l="0" t="0" r="0" b="0"/>
                <wp:docPr id="8381983" name="" title=""/>
                <wp:cNvGraphicFramePr>
                  <a:graphicFrameLocks noChangeAspect="1"/>
                </wp:cNvGraphicFramePr>
                <a:graphic>
                  <a:graphicData uri="http://schemas.openxmlformats.org/drawingml/2006/picture">
                    <pic:pic>
                      <pic:nvPicPr>
                        <pic:cNvPr id="0" name=""/>
                        <pic:cNvPicPr/>
                      </pic:nvPicPr>
                      <pic:blipFill>
                        <a:blip r:embed="Rb26687dd21d74849">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BF5740" w:rsidP="7FB601B3" w:rsidRDefault="00BF5740" w14:paraId="056A3FFF" w14:textId="59056C74">
          <w:pPr>
            <w:pStyle w:val="Fuzeile"/>
            <w:widowControl w:val="0"/>
            <w:tabs>
              <w:tab w:val="center" w:leader="none" w:pos="4252"/>
              <w:tab w:val="right" w:leader="none" w:pos="8504"/>
            </w:tabs>
            <w:rPr>
              <w:sz w:val="16"/>
              <w:szCs w:val="16"/>
            </w:rPr>
          </w:pPr>
          <w:r w:rsidRPr="7FB601B3" w:rsidR="7FB601B3">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BF5740" w:rsidRDefault="00352913" w14:paraId="59FA0309" w14:textId="19D9BC4C">
          <w:pPr>
            <w:pStyle w:val="P68B1DB1-Fuzeile8"/>
          </w:pPr>
          <w:r w:rsidR="7FB601B3">
            <w:drawing>
              <wp:inline wp14:editId="0A3517A6" wp14:anchorId="6A0E2579">
                <wp:extent cx="1009650" cy="352425"/>
                <wp:effectExtent l="0" t="0" r="0" b="0"/>
                <wp:docPr id="841783101" name="" title=""/>
                <wp:cNvGraphicFramePr>
                  <a:graphicFrameLocks noChangeAspect="1"/>
                </wp:cNvGraphicFramePr>
                <a:graphic>
                  <a:graphicData uri="http://schemas.openxmlformats.org/drawingml/2006/picture">
                    <pic:pic>
                      <pic:nvPicPr>
                        <pic:cNvPr id="0" name=""/>
                        <pic:cNvPicPr/>
                      </pic:nvPicPr>
                      <pic:blipFill>
                        <a:blip r:embed="R35f596f3b8294c13">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BF5740" w:rsidRDefault="00BF5740"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440" w:rsidRDefault="000A0440" w14:paraId="4C2C7EE1" w14:textId="77777777">
      <w:r>
        <w:separator/>
      </w:r>
    </w:p>
  </w:footnote>
  <w:footnote w:type="continuationSeparator" w:id="0">
    <w:p w:rsidR="000A0440" w:rsidRDefault="000A0440" w14:paraId="0F23D3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F5740" w:rsidRDefault="00352913"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33CD1B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BF5740" w:rsidRDefault="00352913"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50EDF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786B3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F5740" w:rsidRDefault="00BF5740" w14:paraId="219D9999" w14:textId="50E16F0E">
    <w:pPr>
      <w:pStyle w:val="Textkrper"/>
      <w:tabs>
        <w:tab w:val="left" w:pos="426"/>
        <w:tab w:val="left" w:pos="11199"/>
      </w:tabs>
    </w:pPr>
  </w:p>
  <w:p w:rsidR="00BF5740" w:rsidRDefault="00BF5740" w14:paraId="48E6A0BB" w14:textId="77777777">
    <w:pPr>
      <w:pStyle w:val="Textkrper"/>
      <w:jc w:val="center"/>
      <w:rPr>
        <w:rFonts w:ascii="Calibri Light" w:hAnsi="Calibri Light" w:cs="Calibri Light"/>
        <w:sz w:val="12"/>
      </w:rPr>
    </w:pPr>
  </w:p>
  <w:p w:rsidR="00BF5740" w:rsidRDefault="00BF5740" w14:paraId="4972850E" w14:textId="77777777">
    <w:pPr>
      <w:pStyle w:val="Textkrper"/>
      <w:jc w:val="center"/>
      <w:rPr>
        <w:rFonts w:ascii="Calibri Light" w:hAnsi="Calibri Light" w:cs="Calibri Light"/>
        <w:sz w:val="12"/>
      </w:rPr>
    </w:pPr>
  </w:p>
  <w:p w:rsidR="00BF5740" w:rsidRDefault="00BF5740" w14:paraId="1E061BA8" w14:textId="77777777">
    <w:pPr>
      <w:pStyle w:val="Textkrper"/>
      <w:jc w:val="center"/>
      <w:rPr>
        <w:rFonts w:ascii="Calibri Light" w:hAnsi="Calibri Light" w:cs="Calibri Light"/>
        <w:sz w:val="12"/>
      </w:rPr>
    </w:pPr>
  </w:p>
  <w:p w:rsidR="00BF5740" w:rsidRDefault="00BF5740" w14:paraId="54917538" w14:textId="77777777">
    <w:pPr>
      <w:pStyle w:val="Textkrper"/>
      <w:jc w:val="center"/>
      <w:rPr>
        <w:rFonts w:ascii="Calibri Light" w:hAnsi="Calibri Light" w:cs="Calibri Light"/>
        <w:sz w:val="12"/>
      </w:rPr>
    </w:pPr>
  </w:p>
  <w:p w:rsidR="00BF5740" w:rsidRDefault="00BF5740" w14:paraId="1A025CEA" w14:textId="77777777">
    <w:pPr>
      <w:pStyle w:val="Textkrper"/>
      <w:jc w:val="center"/>
      <w:rPr>
        <w:rFonts w:ascii="Calibri Light" w:hAnsi="Calibri Light" w:cs="Calibri Light"/>
        <w:sz w:val="14"/>
      </w:rPr>
    </w:pPr>
  </w:p>
  <w:p w:rsidR="00BF5740" w:rsidRDefault="00352913" w14:paraId="3790892B" w14:textId="6E99D4C6">
    <w:pPr>
      <w:pStyle w:val="P68B1DB1-Textkrper7"/>
      <w:jc w:val="center"/>
    </w:pPr>
    <w:r>
      <w:t>Genieproject.eu</w:t>
    </w:r>
  </w:p>
  <w:p w:rsidR="00BF5740" w:rsidRDefault="00BF5740"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129007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236966">
    <w:abstractNumId w:val="24"/>
  </w:num>
  <w:num w:numId="3" w16cid:durableId="518617216">
    <w:abstractNumId w:val="9"/>
  </w:num>
  <w:num w:numId="4" w16cid:durableId="376048293">
    <w:abstractNumId w:val="15"/>
  </w:num>
  <w:num w:numId="5" w16cid:durableId="2002852207">
    <w:abstractNumId w:val="7"/>
  </w:num>
  <w:num w:numId="6" w16cid:durableId="1593977472">
    <w:abstractNumId w:val="23"/>
  </w:num>
  <w:num w:numId="7" w16cid:durableId="1674139451">
    <w:abstractNumId w:val="14"/>
  </w:num>
  <w:num w:numId="8" w16cid:durableId="2139563055">
    <w:abstractNumId w:val="13"/>
  </w:num>
  <w:num w:numId="9" w16cid:durableId="1596939079">
    <w:abstractNumId w:val="17"/>
  </w:num>
  <w:num w:numId="10" w16cid:durableId="738290970">
    <w:abstractNumId w:val="12"/>
  </w:num>
  <w:num w:numId="11" w16cid:durableId="1376614049">
    <w:abstractNumId w:val="6"/>
  </w:num>
  <w:num w:numId="12" w16cid:durableId="785196617">
    <w:abstractNumId w:val="8"/>
  </w:num>
  <w:num w:numId="13" w16cid:durableId="505904589">
    <w:abstractNumId w:val="21"/>
  </w:num>
  <w:num w:numId="14" w16cid:durableId="2091147370">
    <w:abstractNumId w:val="25"/>
  </w:num>
  <w:num w:numId="15" w16cid:durableId="1876771326">
    <w:abstractNumId w:val="16"/>
  </w:num>
  <w:num w:numId="16" w16cid:durableId="516769466">
    <w:abstractNumId w:val="1"/>
  </w:num>
  <w:num w:numId="17" w16cid:durableId="78454780">
    <w:abstractNumId w:val="22"/>
  </w:num>
  <w:num w:numId="18" w16cid:durableId="370964229">
    <w:abstractNumId w:val="26"/>
  </w:num>
  <w:num w:numId="19" w16cid:durableId="1651979670">
    <w:abstractNumId w:val="2"/>
  </w:num>
  <w:num w:numId="20" w16cid:durableId="380633093">
    <w:abstractNumId w:val="19"/>
  </w:num>
  <w:num w:numId="21" w16cid:durableId="1701660501">
    <w:abstractNumId w:val="20"/>
  </w:num>
  <w:num w:numId="22" w16cid:durableId="1963265817">
    <w:abstractNumId w:val="5"/>
  </w:num>
  <w:num w:numId="23" w16cid:durableId="2132549493">
    <w:abstractNumId w:val="18"/>
  </w:num>
  <w:num w:numId="24" w16cid:durableId="720710275">
    <w:abstractNumId w:val="11"/>
  </w:num>
  <w:num w:numId="25" w16cid:durableId="2020622386">
    <w:abstractNumId w:val="3"/>
  </w:num>
  <w:num w:numId="26" w16cid:durableId="31612073">
    <w:abstractNumId w:val="0"/>
  </w:num>
  <w:num w:numId="27" w16cid:durableId="2104758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7CEA"/>
    <w:rsid w:val="00030014"/>
    <w:rsid w:val="00030C5A"/>
    <w:rsid w:val="00032AE2"/>
    <w:rsid w:val="000A0440"/>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865D2"/>
    <w:rsid w:val="002D275E"/>
    <w:rsid w:val="00315054"/>
    <w:rsid w:val="003441DD"/>
    <w:rsid w:val="00352913"/>
    <w:rsid w:val="00367762"/>
    <w:rsid w:val="0037488C"/>
    <w:rsid w:val="003C16FF"/>
    <w:rsid w:val="003D13EC"/>
    <w:rsid w:val="003F7CB8"/>
    <w:rsid w:val="00403D96"/>
    <w:rsid w:val="00404410"/>
    <w:rsid w:val="004369A0"/>
    <w:rsid w:val="00467D9D"/>
    <w:rsid w:val="004B10DB"/>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71948"/>
    <w:rsid w:val="006B4332"/>
    <w:rsid w:val="006C06AD"/>
    <w:rsid w:val="007117B3"/>
    <w:rsid w:val="007B1342"/>
    <w:rsid w:val="007E413D"/>
    <w:rsid w:val="007E6542"/>
    <w:rsid w:val="008276F3"/>
    <w:rsid w:val="00835174"/>
    <w:rsid w:val="0085205A"/>
    <w:rsid w:val="00853A2D"/>
    <w:rsid w:val="00857167"/>
    <w:rsid w:val="00884B7D"/>
    <w:rsid w:val="008E08F1"/>
    <w:rsid w:val="009248D3"/>
    <w:rsid w:val="00970F4A"/>
    <w:rsid w:val="009750CD"/>
    <w:rsid w:val="009843CB"/>
    <w:rsid w:val="00986C6F"/>
    <w:rsid w:val="009A443E"/>
    <w:rsid w:val="009B5EBD"/>
    <w:rsid w:val="009F0523"/>
    <w:rsid w:val="00A13E50"/>
    <w:rsid w:val="00A1516C"/>
    <w:rsid w:val="00A21F30"/>
    <w:rsid w:val="00A2519C"/>
    <w:rsid w:val="00A25E05"/>
    <w:rsid w:val="00A949C0"/>
    <w:rsid w:val="00AA0C9E"/>
    <w:rsid w:val="00AC71EF"/>
    <w:rsid w:val="00AE11D4"/>
    <w:rsid w:val="00AF6C19"/>
    <w:rsid w:val="00B217DC"/>
    <w:rsid w:val="00B34F9F"/>
    <w:rsid w:val="00B40CAE"/>
    <w:rsid w:val="00B61BC4"/>
    <w:rsid w:val="00B77D0D"/>
    <w:rsid w:val="00B82763"/>
    <w:rsid w:val="00BA5E80"/>
    <w:rsid w:val="00BD7718"/>
    <w:rsid w:val="00BF531A"/>
    <w:rsid w:val="00BF5740"/>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15655FF3"/>
    <w:rsid w:val="1EF319DC"/>
    <w:rsid w:val="3B268AE3"/>
    <w:rsid w:val="654AC717"/>
    <w:rsid w:val="7FB601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Textkrper2" w:customStyle="1">
    <w:name w:val="P68B1DB1-Textkrper2"/>
    <w:basedOn w:val="Textkrper"/>
    <w:rPr>
      <w:b/>
      <w:color w:val="AED738"/>
      <w:sz w:val="40"/>
    </w:rPr>
  </w:style>
  <w:style w:type="paragraph" w:styleId="P68B1DB1-Standard3" w:customStyle="1">
    <w:name w:val="P68B1DB1-Standard3"/>
    <w:basedOn w:val="Standard"/>
    <w:rPr>
      <w:rFonts w:ascii="Helvetica neue" w:hAnsi="Helvetica neue" w:cstheme="minorHAnsi"/>
      <w:b/>
      <w:color w:val="FFFFFF" w:themeColor="background1"/>
    </w:rPr>
  </w:style>
  <w:style w:type="paragraph" w:styleId="P68B1DB1-Standard4" w:customStyle="1">
    <w:name w:val="P68B1DB1-Standard4"/>
    <w:basedOn w:val="Standard"/>
    <w:rPr>
      <w:rFonts w:ascii="Helvetica neue" w:hAnsi="Helvetica neue" w:cstheme="minorHAnsi"/>
    </w:rPr>
  </w:style>
  <w:style w:type="paragraph" w:styleId="P68B1DB1-Standard5" w:customStyle="1">
    <w:name w:val="P68B1DB1-Standard5"/>
    <w:basedOn w:val="Standard"/>
    <w:rPr>
      <w:rFonts w:ascii="Helvetica neue" w:hAnsi="Helvetica neue" w:eastAsia="Calibri" w:cstheme="minorHAnsi"/>
    </w:rPr>
  </w:style>
  <w:style w:type="paragraph" w:styleId="P68B1DB1-Listenabsatz6" w:customStyle="1">
    <w:name w:val="P68B1DB1-Listenabsatz6"/>
    <w:basedOn w:val="Listenabsatz"/>
    <w:rPr>
      <w:rFonts w:ascii="Helvetica neue" w:hAnsi="Helvetica neue" w:cstheme="minorHAnsi"/>
    </w:rPr>
  </w:style>
  <w:style w:type="paragraph" w:styleId="P68B1DB1-Textkrper7" w:customStyle="1">
    <w:name w:val="P68B1DB1-Textkrper7"/>
    <w:basedOn w:val="Textkrper"/>
    <w:rPr>
      <w:rFonts w:ascii="Calibri Light" w:hAnsi="Calibri Light" w:cs="Calibri Light"/>
      <w:sz w:val="14"/>
    </w:rPr>
  </w:style>
  <w:style w:type="paragraph" w:styleId="P68B1DB1-Fuzeile8" w:customStyle="1">
    <w:name w:val="P68B1DB1-Fuzeile8"/>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b26687dd21d74849" /><Relationship Type="http://schemas.openxmlformats.org/officeDocument/2006/relationships/image" Target="/media/image4.jpg" Id="R35f596f3b8294c13"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10</revision>
  <lastPrinted>2022-11-25T11:56:00.0000000Z</lastPrinted>
  <dcterms:created xsi:type="dcterms:W3CDTF">2022-11-28T14:30:00.0000000Z</dcterms:created>
  <dcterms:modified xsi:type="dcterms:W3CDTF">2024-01-31T12:23:58.2251613Z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