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B5A" w:rsidRDefault="00473D54" w14:paraId="16DF3E01" w14:textId="3B93E7EB">
      <w:pPr>
        <w:pStyle w:val="P68B1DB1-Textkrper1"/>
        <w:tabs>
          <w:tab w:val="left" w:pos="567"/>
          <w:tab w:val="left" w:pos="10773"/>
        </w:tabs>
        <w:ind w:left="-709" w:right="-568"/>
        <w:jc w:val="center"/>
      </w:pPr>
      <w:r>
        <w:t>Caso práctico</w:t>
      </w:r>
      <w:r w:rsidR="008A40F1">
        <w:t>:</w:t>
      </w:r>
    </w:p>
    <w:p w:rsidR="00C15B5A" w:rsidRDefault="009E371B" w14:paraId="2A60A73F" w14:textId="29BAC0A7">
      <w:pPr>
        <w:pStyle w:val="P68B1DB1-Textkrper1"/>
        <w:tabs>
          <w:tab w:val="left" w:pos="567"/>
          <w:tab w:val="left" w:pos="10773"/>
        </w:tabs>
        <w:ind w:left="-709" w:right="-568"/>
        <w:jc w:val="center"/>
      </w:pPr>
      <w:r>
        <w:t>Cronología en tres pasos</w:t>
      </w:r>
      <w:r w:rsidR="008A40F1">
        <w:t xml:space="preserve"> para fomentar el intraemprendimiento: L</w:t>
      </w:r>
      <w:r>
        <w:t>as l</w:t>
      </w:r>
      <w:r w:rsidR="008A40F1">
        <w:t>ecciones del caso Wehkamp</w:t>
      </w:r>
    </w:p>
    <w:p w:rsidR="00C15B5A" w:rsidRDefault="00C15B5A" w14:paraId="765BDD30"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C15B5A"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C15B5A" w:rsidRDefault="008A40F1" w14:paraId="727B59D1" w14:textId="77777777">
            <w:pPr>
              <w:pStyle w:val="P68B1DB1-Standard2"/>
            </w:pPr>
            <w:r>
              <w:t>Palabras clave (meta tag)</w:t>
            </w:r>
          </w:p>
        </w:tc>
        <w:tc>
          <w:tcPr>
            <w:tcW w:w="6642" w:type="dxa"/>
            <w:shd w:val="clear" w:color="auto" w:fill="FFFFFF" w:themeFill="background1"/>
          </w:tcPr>
          <w:p w:rsidR="00C15B5A" w:rsidRDefault="008A40F1" w14:paraId="01319779" w14:textId="1D1223EE">
            <w:pPr>
              <w:pStyle w:val="P68B1DB1-Standard3"/>
            </w:pPr>
            <w:r>
              <w:t>Comportamiento intraemprendedor, cultura innovadora, mantenimiento del intraemprendimiento</w:t>
            </w:r>
          </w:p>
        </w:tc>
      </w:tr>
      <w:tr w:rsidR="00C15B5A"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C15B5A" w:rsidRDefault="008A40F1" w14:paraId="3D5C6F61" w14:textId="070DFD45">
            <w:pPr>
              <w:pStyle w:val="P68B1DB1-Standard2"/>
            </w:pPr>
            <w:r>
              <w:t>Proporcionado por</w:t>
            </w:r>
          </w:p>
        </w:tc>
        <w:tc>
          <w:tcPr>
            <w:tcW w:w="6642" w:type="dxa"/>
            <w:shd w:val="clear" w:color="auto" w:fill="FFFFFF" w:themeFill="background1"/>
          </w:tcPr>
          <w:p w:rsidR="00C15B5A" w:rsidRDefault="00473D54" w14:paraId="1E29AC1D" w14:textId="6CBCF7D1">
            <w:pPr>
              <w:pStyle w:val="P68B1DB1-Standard4"/>
            </w:pPr>
            <w:r>
              <w:t>d</w:t>
            </w:r>
            <w:r w:rsidR="008A40F1">
              <w:t>-ialogo e.K.</w:t>
            </w:r>
          </w:p>
        </w:tc>
      </w:tr>
      <w:tr w:rsidR="00C15B5A"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C15B5A" w:rsidRDefault="008A40F1" w14:paraId="242772F7" w14:textId="22389382">
            <w:pPr>
              <w:pStyle w:val="P68B1DB1-Standard2"/>
            </w:pPr>
            <w:r>
              <w:t>Idioma</w:t>
            </w:r>
          </w:p>
        </w:tc>
        <w:tc>
          <w:tcPr>
            <w:tcW w:w="6642" w:type="dxa"/>
            <w:shd w:val="clear" w:color="auto" w:fill="FFFFFF" w:themeFill="background1"/>
          </w:tcPr>
          <w:p w:rsidR="00C15B5A" w:rsidRDefault="009E371B" w14:paraId="18723BA9" w14:textId="41D8685F">
            <w:pPr>
              <w:pStyle w:val="P68B1DB1-Standard4"/>
            </w:pPr>
            <w:r>
              <w:t>Español</w:t>
            </w:r>
          </w:p>
        </w:tc>
      </w:tr>
      <w:tr w:rsidR="00C15B5A"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C15B5A" w:rsidRDefault="008A40F1" w14:paraId="6142E15C" w14:textId="388AEA7B">
            <w:pPr>
              <w:pStyle w:val="P68B1DB1-Standard2"/>
              <w:jc w:val="both"/>
              <w:textAlignment w:val="baseline"/>
            </w:pPr>
            <w:r>
              <w:t>Estudio de caso</w:t>
            </w:r>
          </w:p>
        </w:tc>
      </w:tr>
      <w:tr w:rsidR="00C15B5A"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C15B5A" w:rsidRDefault="008A40F1" w14:paraId="5B6330A3" w14:textId="2B82400E">
            <w:pPr>
              <w:pStyle w:val="Listenabsatz"/>
              <w:rPr>
                <w:rFonts w:ascii="Helvetica neue" w:hAnsi="Helvetica neue" w:cstheme="minorHAnsi"/>
              </w:rPr>
            </w:pPr>
            <w:r>
              <w:rPr>
                <w:rFonts w:ascii="Helvetica neue" w:hAnsi="Helvetica neue" w:cstheme="minorHAnsi"/>
              </w:rPr>
              <w:t xml:space="preserve">Wehkamp comenzó en 1995 con sus primeros experimentos </w:t>
            </w:r>
            <w:r w:rsidR="00CD0456">
              <w:rPr>
                <w:rFonts w:ascii="Helvetica neue" w:hAnsi="Helvetica neue" w:cstheme="minorHAnsi"/>
                <w:i/>
                <w:iCs/>
              </w:rPr>
              <w:t>online</w:t>
            </w:r>
            <w:r>
              <w:rPr>
                <w:rFonts w:ascii="Helvetica neue" w:hAnsi="Helvetica neue" w:cstheme="minorHAnsi"/>
              </w:rPr>
              <w:t>, pero al mismo tiempo el negocio se estancó debido al antiguo modelo de negocio «asociado con las ventas de catálogos debido a mejoras incrementales continuas y un alto enfoque en la eficiencia».</w:t>
            </w:r>
            <w:r>
              <w:rPr>
                <w:rStyle w:val="Funotenzeichen"/>
                <w:rFonts w:ascii="Helvetica neue" w:hAnsi="Helvetica neue" w:cstheme="minorHAnsi"/>
              </w:rPr>
              <w:footnoteReference w:id="1"/>
            </w:r>
            <w:r>
              <w:rPr>
                <w:rFonts w:ascii="Helvetica neue" w:hAnsi="Helvetica neue" w:cstheme="minorHAnsi"/>
              </w:rPr>
              <w:t xml:space="preserve">  En conclusión, los procedimientos y reglas estrictos para aumentar la eficiencia pueden obstaculizar el comportamiento intraemprendedor, porque tal comportamiento significa ir en contra de las formas establecidas y aceptadas con innovaciones radicales; formalización, control y jerarquía vs. autonomía y comportamiento intrapren</w:t>
            </w:r>
            <w:r w:rsidR="00CD0456">
              <w:rPr>
                <w:rFonts w:ascii="Helvetica neue" w:hAnsi="Helvetica neue" w:cstheme="minorHAnsi"/>
              </w:rPr>
              <w:t>dedor</w:t>
            </w:r>
            <w:r>
              <w:rPr>
                <w:rFonts w:ascii="Helvetica neue" w:hAnsi="Helvetica neue" w:cstheme="minorHAnsi"/>
              </w:rPr>
              <w:t>.</w:t>
            </w:r>
            <w:r>
              <w:rPr>
                <w:rStyle w:val="Funotenzeichen"/>
                <w:rFonts w:ascii="Helvetica neue" w:hAnsi="Helvetica neue" w:cstheme="minorHAnsi"/>
              </w:rPr>
              <w:footnoteReference w:id="2"/>
            </w:r>
            <w:r>
              <w:rPr>
                <w:rFonts w:ascii="Helvetica neue" w:hAnsi="Helvetica neue" w:cstheme="minorHAnsi"/>
              </w:rPr>
              <w:t xml:space="preserve"> </w:t>
            </w:r>
          </w:p>
          <w:p w:rsidR="00C15B5A" w:rsidRDefault="00C15B5A" w14:paraId="6A5196AA" w14:textId="77777777">
            <w:pPr>
              <w:pStyle w:val="Listenabsatz"/>
              <w:rPr>
                <w:rFonts w:ascii="Helvetica neue" w:hAnsi="Helvetica neue" w:cstheme="minorHAnsi"/>
              </w:rPr>
            </w:pPr>
          </w:p>
          <w:p w:rsidR="00C15B5A" w:rsidRDefault="008A40F1" w14:paraId="074DC12C" w14:textId="5FE166C5">
            <w:pPr>
              <w:pStyle w:val="P68B1DB1-Listenabsatz5"/>
            </w:pPr>
            <w:r>
              <w:t xml:space="preserve">El resultado de este análisis de Deprez et al. es que </w:t>
            </w:r>
            <w:r w:rsidR="00C040A1">
              <w:t>los</w:t>
            </w:r>
            <w:r>
              <w:t xml:space="preserve"> </w:t>
            </w:r>
            <w:r w:rsidR="00C040A1">
              <w:t>sistemas basados</w:t>
            </w:r>
            <w:r>
              <w:t xml:space="preserve"> en modelos </w:t>
            </w:r>
            <w:r w:rsidR="00C040A1">
              <w:t>son</w:t>
            </w:r>
            <w:r>
              <w:t xml:space="preserve"> importante</w:t>
            </w:r>
            <w:r w:rsidR="00C040A1">
              <w:t>s</w:t>
            </w:r>
            <w:r>
              <w:t xml:space="preserve"> para establecer una cultura innovadora</w:t>
            </w:r>
            <w:r w:rsidR="00C040A1">
              <w:t>. Así se describen</w:t>
            </w:r>
            <w:r>
              <w:t xml:space="preserve">: </w:t>
            </w:r>
          </w:p>
          <w:p w:rsidR="00C15B5A" w:rsidRDefault="00C15B5A" w14:paraId="4711DA5D" w14:textId="77777777">
            <w:pPr>
              <w:pStyle w:val="Listenabsatz"/>
              <w:rPr>
                <w:rFonts w:ascii="Helvetica neue" w:hAnsi="Helvetica neue" w:cstheme="minorHAnsi"/>
              </w:rPr>
            </w:pPr>
          </w:p>
          <w:p w:rsidR="00C15B5A" w:rsidRDefault="008A40F1" w14:paraId="4CF8744C" w14:textId="69784C3E">
            <w:pPr>
              <w:pStyle w:val="P68B1DB1-Listenabsatz6"/>
            </w:pPr>
            <w:r>
              <w:t>Fase 1: intraemprendimiento de unos pocos</w:t>
            </w:r>
          </w:p>
          <w:p w:rsidR="00C15B5A" w:rsidRDefault="008A40F1" w14:paraId="7292741A" w14:textId="5A153087">
            <w:pPr>
              <w:pStyle w:val="P68B1DB1-Listenabsatz5"/>
            </w:pPr>
            <w:r>
              <w:t>En primer lugar, en primera línea, los empleados pueden observar los cambios de los mercados, por ejemplo, cambiar las necesidades de los clientes, y podrían encontrar soluciones. Son fuentes muy importantes para encontrar soluciones innovadoras. Para encontrar y establecer innovaciones es necesario un nivel creciente de autonomía y toma de decisiones</w:t>
            </w:r>
            <w:r w:rsidR="00C040A1">
              <w:t xml:space="preserve"> que pueden otorgarse </w:t>
            </w:r>
            <w:r>
              <w:t xml:space="preserve">por los líderes de equipo, </w:t>
            </w:r>
            <w:r w:rsidR="00C040A1">
              <w:t>para así</w:t>
            </w:r>
            <w:r>
              <w:t xml:space="preserve"> fomentar su propia iniciativa. </w:t>
            </w:r>
            <w:r w:rsidR="00C040A1">
              <w:t xml:space="preserve">El </w:t>
            </w:r>
            <w:r w:rsidR="00C040A1">
              <w:rPr>
                <w:i/>
                <w:iCs/>
              </w:rPr>
              <w:t>feedback</w:t>
            </w:r>
            <w:r>
              <w:t xml:space="preserve"> sobre lo que está sucediendo con </w:t>
            </w:r>
            <w:r w:rsidR="00C040A1">
              <w:t>la idea</w:t>
            </w:r>
            <w:r>
              <w:t xml:space="preserve"> y la oferta de seguir trabajando en </w:t>
            </w:r>
            <w:r w:rsidR="00C040A1">
              <w:t>ella</w:t>
            </w:r>
            <w:r>
              <w:t xml:space="preserve"> es esencial para la motivación y puede facilitar más ideas. Finalmente, es necesario definir por qué la organización quiere aumentar el intraemprendimiento y con cuánta capacidad. </w:t>
            </w:r>
          </w:p>
          <w:p w:rsidR="00C15B5A" w:rsidRDefault="00C15B5A" w14:paraId="0D9DC6F5" w14:textId="77777777">
            <w:pPr>
              <w:pStyle w:val="Listenabsatz"/>
              <w:rPr>
                <w:rFonts w:ascii="Helvetica neue" w:hAnsi="Helvetica neue" w:cstheme="minorHAnsi"/>
              </w:rPr>
            </w:pPr>
          </w:p>
          <w:p w:rsidR="00C15B5A" w:rsidRDefault="008A40F1" w14:paraId="777D0A3E" w14:textId="0B356DFC">
            <w:pPr>
              <w:pStyle w:val="P68B1DB1-Listenabsatz6"/>
            </w:pPr>
            <w:r>
              <w:t xml:space="preserve">Fase 2: el uso de tiempos turbulentos para instigar el intraemprendimiento </w:t>
            </w:r>
            <w:r w:rsidR="004F4401">
              <w:t>a gran escala</w:t>
            </w:r>
          </w:p>
          <w:p w:rsidR="00C15B5A" w:rsidRDefault="008A40F1" w14:paraId="5A30DD48" w14:textId="0A6D7F1C">
            <w:pPr>
              <w:pStyle w:val="P68B1DB1-Listenabsatz5"/>
            </w:pPr>
            <w:r>
              <w:t xml:space="preserve">Es necesario enfatizar </w:t>
            </w:r>
            <w:r w:rsidR="004F4401">
              <w:t xml:space="preserve">por </w:t>
            </w:r>
            <w:r>
              <w:t>qu</w:t>
            </w:r>
            <w:r w:rsidR="004F4401">
              <w:t>é</w:t>
            </w:r>
            <w:r>
              <w:t xml:space="preserve"> se desea el intraemprendimiento.</w:t>
            </w:r>
            <w:r w:rsidR="004F4401">
              <w:t xml:space="preserve"> </w:t>
            </w:r>
            <w:r>
              <w:t xml:space="preserve">La dirección puede </w:t>
            </w:r>
            <w:r w:rsidR="004F4401">
              <w:t>ser pionera en</w:t>
            </w:r>
            <w:r>
              <w:t xml:space="preserve"> promover el intraemprendimiento, así como el comportamiento deseado de los empleados. </w:t>
            </w:r>
            <w:r w:rsidR="004F4401">
              <w:t>Unas</w:t>
            </w:r>
            <w:r>
              <w:t xml:space="preserve"> barreras más bajas y una menor formalización para la comunicación y la presentación de </w:t>
            </w:r>
            <w:r>
              <w:lastRenderedPageBreak/>
              <w:t xml:space="preserve">ideas pueden fomentar </w:t>
            </w:r>
            <w:r w:rsidR="004F4401">
              <w:t>su propuesta</w:t>
            </w:r>
            <w:r>
              <w:t xml:space="preserve">. Una cultura justa también da </w:t>
            </w:r>
            <w:r w:rsidR="004F4401">
              <w:t>alas al</w:t>
            </w:r>
            <w:r>
              <w:t xml:space="preserve"> intraemprendimiento. A los intraemprendedores les gust</w:t>
            </w:r>
            <w:r w:rsidR="004F4401">
              <w:t>a</w:t>
            </w:r>
            <w:r>
              <w:t xml:space="preserve"> que se les trat</w:t>
            </w:r>
            <w:r w:rsidR="004F4401">
              <w:t>e</w:t>
            </w:r>
            <w:r>
              <w:t xml:space="preserve"> de manera humana y justa. </w:t>
            </w:r>
          </w:p>
          <w:p w:rsidR="00C15B5A" w:rsidRDefault="00C15B5A" w14:paraId="385BB2AA" w14:textId="679B3FBF">
            <w:pPr>
              <w:pStyle w:val="Listenabsatz"/>
              <w:rPr>
                <w:rFonts w:ascii="Helvetica neue" w:hAnsi="Helvetica neue" w:cstheme="minorHAnsi"/>
              </w:rPr>
            </w:pPr>
          </w:p>
          <w:p w:rsidR="00C15B5A" w:rsidRDefault="00C15B5A" w14:paraId="3F6D828C" w14:textId="77777777">
            <w:pPr>
              <w:pStyle w:val="Listenabsatz"/>
              <w:rPr>
                <w:rFonts w:ascii="Helvetica neue" w:hAnsi="Helvetica neue" w:cstheme="minorHAnsi"/>
              </w:rPr>
            </w:pPr>
          </w:p>
          <w:p w:rsidR="00C15B5A" w:rsidRDefault="008A40F1" w14:paraId="1FA5E73A" w14:textId="5950B71F">
            <w:pPr>
              <w:pStyle w:val="P68B1DB1-Listenabsatz6"/>
            </w:pPr>
            <w:r>
              <w:t xml:space="preserve">Fase 3: mantener el intraemprendimiento </w:t>
            </w:r>
            <w:r w:rsidR="004F4401">
              <w:t>a gran escala</w:t>
            </w:r>
          </w:p>
          <w:p w:rsidR="00C15B5A" w:rsidRDefault="008A40F1" w14:paraId="19EC177C" w14:textId="0F255565">
            <w:pPr>
              <w:pStyle w:val="Listenabsatz"/>
              <w:rPr>
                <w:rFonts w:ascii="Helvetica neue" w:hAnsi="Helvetica neue" w:cstheme="minorHAnsi"/>
              </w:rPr>
            </w:pPr>
            <w:r>
              <w:rPr>
                <w:rFonts w:ascii="Helvetica neue" w:hAnsi="Helvetica neue" w:cstheme="minorHAnsi"/>
              </w:rPr>
              <w:t>Una gran cantidad de investigación se trata de averiguar qué factores organizacionales pueden apoyar el intraemprendimiento. Hay cinco factores organizacionales clave para mejorar el intraemprendimiento: «autonomía, recompensas, disponibilidad de tiempo, apoyo de gestión y límites en el alcance de una iniciativa».</w:t>
            </w:r>
            <w:r>
              <w:rPr>
                <w:rStyle w:val="Funotenzeichen"/>
                <w:rFonts w:ascii="Helvetica neue" w:hAnsi="Helvetica neue" w:cstheme="minorHAnsi"/>
              </w:rPr>
              <w:footnoteReference w:id="3"/>
            </w:r>
            <w:r>
              <w:rPr>
                <w:rFonts w:ascii="Helvetica neue" w:hAnsi="Helvetica neue" w:cstheme="minorHAnsi"/>
              </w:rPr>
              <w:t xml:space="preserve">  La disponibilidad de tiempo no significa una asignación de tiempo específica, sino una invitación a usar áreas de ocio para conocer a otros o tiempo de inactividad mental. Las recompensas pueden ser bonificaciones o recompensas indirectas, como celebrar juntos el éxito de una empresa.</w:t>
            </w:r>
          </w:p>
          <w:p w:rsidR="00C15B5A" w:rsidRDefault="00C15B5A" w14:paraId="15746645" w14:textId="1FB8A8F4">
            <w:pPr>
              <w:textAlignment w:val="baseline"/>
              <w:rPr>
                <w:rFonts w:ascii="Helvetica neue" w:hAnsi="Helvetica neue" w:cstheme="minorHAnsi"/>
                <w:b/>
              </w:rPr>
            </w:pPr>
          </w:p>
        </w:tc>
      </w:tr>
      <w:tr w:rsidR="00C15B5A"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C15B5A" w:rsidRDefault="008A40F1" w14:paraId="41D370F8" w14:textId="795C765C">
            <w:pPr>
              <w:pStyle w:val="P68B1DB1-Standard2"/>
            </w:pPr>
            <w:r>
              <w:lastRenderedPageBreak/>
              <w:t>Referencia</w:t>
            </w:r>
          </w:p>
        </w:tc>
        <w:tc>
          <w:tcPr>
            <w:tcW w:w="6642" w:type="dxa"/>
            <w:tcBorders>
              <w:top w:val="single" w:color="4D94B7" w:sz="4" w:space="0"/>
            </w:tcBorders>
            <w:shd w:val="clear" w:color="auto" w:fill="FFFFFF" w:themeFill="background1"/>
          </w:tcPr>
          <w:p w:rsidR="00C15B5A" w:rsidRDefault="00473D54" w14:paraId="67A1AE46" w14:textId="4CD81E19">
            <w:pPr>
              <w:pStyle w:val="P68B1DB1-Standard3"/>
              <w:textAlignment w:val="baseline"/>
            </w:pPr>
            <w:r w:rsidRPr="00473D54">
              <w:t>Deprez, J.; Leroy, H.; Euwema, M. (2018). Three chronological steps toward encouraging intrapreneurship: Lessons from the Wehkamp case. Business Horizons, 61, p. 135-145.</w:t>
            </w:r>
          </w:p>
        </w:tc>
      </w:tr>
    </w:tbl>
    <w:p w:rsidR="00C15B5A" w:rsidRDefault="00C15B5A" w14:paraId="7B5C8C62" w14:textId="77777777">
      <w:pPr>
        <w:rPr>
          <w:rFonts w:ascii="Helvetica neue" w:hAnsi="Helvetica neue" w:eastAsia="Calibri"/>
        </w:rPr>
      </w:pPr>
    </w:p>
    <w:p w:rsidR="00C15B5A" w:rsidRDefault="00C15B5A" w14:paraId="147C05D8" w14:textId="77777777">
      <w:pPr>
        <w:pStyle w:val="Textkrper"/>
        <w:rPr>
          <w:rFonts w:ascii="Helvetica neue" w:hAnsi="Helvetica neue"/>
        </w:rPr>
      </w:pPr>
    </w:p>
    <w:p w:rsidR="00C15B5A" w:rsidRDefault="00C15B5A" w14:paraId="74F8FDB1" w14:textId="77777777">
      <w:pPr>
        <w:pStyle w:val="Textkrper"/>
        <w:rPr>
          <w:rFonts w:ascii="Helvetica neue" w:hAnsi="Helvetica neue"/>
        </w:rPr>
      </w:pPr>
    </w:p>
    <w:p w:rsidR="00C15B5A" w:rsidRDefault="00C15B5A" w14:paraId="0F29616B" w14:textId="77777777">
      <w:pPr>
        <w:pStyle w:val="Textkrper"/>
        <w:rPr>
          <w:rFonts w:ascii="Helvetica neue" w:hAnsi="Helvetica neue"/>
        </w:rPr>
      </w:pPr>
    </w:p>
    <w:p w:rsidR="00C15B5A" w:rsidRDefault="00C15B5A" w14:paraId="418B11EC" w14:textId="77777777">
      <w:pPr>
        <w:pStyle w:val="Textkrper"/>
        <w:rPr>
          <w:rFonts w:ascii="Helvetica neue" w:hAnsi="Helvetica neue"/>
        </w:rPr>
      </w:pPr>
    </w:p>
    <w:p w:rsidR="00C15B5A" w:rsidRDefault="00C15B5A" w14:paraId="0F3B7297" w14:textId="77777777">
      <w:pPr>
        <w:pStyle w:val="Textkrper"/>
        <w:rPr>
          <w:rFonts w:ascii="Helvetica neue" w:hAnsi="Helvetica neue"/>
        </w:rPr>
      </w:pPr>
    </w:p>
    <w:p w:rsidR="00C15B5A" w:rsidRDefault="00C15B5A" w14:paraId="76A7B4E3" w14:textId="77777777">
      <w:pPr>
        <w:pStyle w:val="Textkrper"/>
        <w:rPr>
          <w:rFonts w:ascii="Helvetica neue" w:hAnsi="Helvetica neue"/>
        </w:rPr>
      </w:pPr>
    </w:p>
    <w:p w:rsidR="00C15B5A" w:rsidRDefault="00C15B5A" w14:paraId="1AD364D9" w14:textId="77777777">
      <w:pPr>
        <w:pStyle w:val="Textkrper"/>
        <w:rPr>
          <w:rFonts w:ascii="Helvetica neue" w:hAnsi="Helvetica neue"/>
        </w:rPr>
      </w:pPr>
    </w:p>
    <w:p w:rsidR="00C15B5A" w:rsidRDefault="00C15B5A" w14:paraId="3AD0A064" w14:textId="77777777">
      <w:pPr>
        <w:pStyle w:val="Textkrper"/>
        <w:rPr>
          <w:rFonts w:ascii="Helvetica neue" w:hAnsi="Helvetica neue"/>
        </w:rPr>
      </w:pPr>
    </w:p>
    <w:p w:rsidR="00C15B5A" w:rsidRDefault="00C15B5A" w14:paraId="70A5E1B6" w14:textId="77777777">
      <w:pPr>
        <w:pStyle w:val="Textkrper"/>
        <w:rPr>
          <w:rFonts w:ascii="Helvetica neue" w:hAnsi="Helvetica neue"/>
        </w:rPr>
      </w:pPr>
    </w:p>
    <w:p w:rsidR="00C15B5A" w:rsidRDefault="00C15B5A" w14:paraId="1D7A6CEB" w14:textId="77777777">
      <w:pPr>
        <w:pStyle w:val="Textkrper"/>
        <w:rPr>
          <w:rFonts w:ascii="Helvetica neue" w:hAnsi="Helvetica neue"/>
        </w:rPr>
      </w:pPr>
    </w:p>
    <w:sectPr w:rsidR="00C15B5A">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CB8" w:rsidRDefault="003A1CB8" w14:paraId="255F4D3F" w14:textId="77777777">
      <w:r>
        <w:separator/>
      </w:r>
    </w:p>
  </w:endnote>
  <w:endnote w:type="continuationSeparator" w:id="0">
    <w:p w:rsidR="003A1CB8" w:rsidRDefault="003A1CB8" w14:paraId="636F1B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C15B5A" w:rsidRDefault="008A40F1"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674DD4A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C15B5A" w:rsidTr="47BAAF60" w14:paraId="67534BAE" w14:textId="77777777">
      <w:tc>
        <w:tcPr>
          <w:tcW w:w="3180" w:type="dxa"/>
          <w:tcMar/>
        </w:tcPr>
        <w:p w:rsidR="00C15B5A" w:rsidRDefault="008A40F1" w14:paraId="223DE6AB" w14:textId="44F1A418">
          <w:pPr>
            <w:pStyle w:val="P68B1DB1-Fuzeile8"/>
          </w:pPr>
          <w:r w:rsidR="47BAAF60">
            <w:drawing>
              <wp:inline wp14:editId="75A80218" wp14:anchorId="399FC309">
                <wp:extent cx="1885950" cy="400050"/>
                <wp:effectExtent l="0" t="0" r="0" b="0"/>
                <wp:docPr id="378915325" name="" title=""/>
                <wp:cNvGraphicFramePr>
                  <a:graphicFrameLocks noChangeAspect="1"/>
                </wp:cNvGraphicFramePr>
                <a:graphic>
                  <a:graphicData uri="http://schemas.openxmlformats.org/drawingml/2006/picture">
                    <pic:pic>
                      <pic:nvPicPr>
                        <pic:cNvPr id="0" name=""/>
                        <pic:cNvPicPr/>
                      </pic:nvPicPr>
                      <pic:blipFill>
                        <a:blip r:embed="R772ef02db18644c4">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C15B5A" w:rsidP="47BAAF60" w:rsidRDefault="00C15B5A" w14:paraId="056A3FFF" w14:textId="577C62CE">
          <w:pPr>
            <w:pStyle w:val="Fuzeile"/>
            <w:widowControl w:val="0"/>
            <w:tabs>
              <w:tab w:val="center" w:leader="none" w:pos="4252"/>
              <w:tab w:val="right" w:leader="none" w:pos="8504"/>
            </w:tabs>
            <w:rPr>
              <w:sz w:val="16"/>
              <w:szCs w:val="16"/>
            </w:rPr>
          </w:pPr>
          <w:r w:rsidRPr="47BAAF60" w:rsidR="47BAAF6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C15B5A" w:rsidRDefault="008A40F1" w14:paraId="59FA0309" w14:textId="517DCFE7">
          <w:pPr>
            <w:pStyle w:val="P68B1DB1-Fuzeile8"/>
          </w:pPr>
          <w:r w:rsidR="47BAAF60">
            <w:drawing>
              <wp:inline wp14:editId="5B3D0B47" wp14:anchorId="6FF01B31">
                <wp:extent cx="1009650" cy="352425"/>
                <wp:effectExtent l="0" t="0" r="0" b="0"/>
                <wp:docPr id="1573128476" name="" title=""/>
                <wp:cNvGraphicFramePr>
                  <a:graphicFrameLocks noChangeAspect="1"/>
                </wp:cNvGraphicFramePr>
                <a:graphic>
                  <a:graphicData uri="http://schemas.openxmlformats.org/drawingml/2006/picture">
                    <pic:pic>
                      <pic:nvPicPr>
                        <pic:cNvPr id="0" name=""/>
                        <pic:cNvPicPr/>
                      </pic:nvPicPr>
                      <pic:blipFill>
                        <a:blip r:embed="Rf6cf6e1c7379498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C15B5A" w:rsidRDefault="00C15B5A"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CB8" w:rsidRDefault="003A1CB8" w14:paraId="7F88BFFD" w14:textId="77777777">
      <w:r>
        <w:separator/>
      </w:r>
    </w:p>
  </w:footnote>
  <w:footnote w:type="continuationSeparator" w:id="0">
    <w:p w:rsidR="003A1CB8" w:rsidRDefault="003A1CB8" w14:paraId="25AFAC36" w14:textId="77777777">
      <w:r>
        <w:continuationSeparator/>
      </w:r>
    </w:p>
  </w:footnote>
  <w:footnote w:id="1">
    <w:p w:rsidR="00C15B5A" w:rsidRDefault="008A40F1" w14:paraId="18ED0932" w14:textId="1535A083">
      <w:pPr>
        <w:pStyle w:val="Funotentext"/>
      </w:pPr>
      <w:r>
        <w:rPr>
          <w:rStyle w:val="Funotenzeichen"/>
        </w:rPr>
        <w:footnoteRef/>
      </w:r>
      <w:r>
        <w:t>Deprez et al. (2018), p. 138</w:t>
      </w:r>
    </w:p>
  </w:footnote>
  <w:footnote w:id="2">
    <w:p w:rsidR="00C15B5A" w:rsidRDefault="008A40F1" w14:paraId="7CAF6E26" w14:textId="702902EC">
      <w:pPr>
        <w:pStyle w:val="Funotentext"/>
      </w:pPr>
      <w:r>
        <w:rPr>
          <w:rStyle w:val="Funotenzeichen"/>
        </w:rPr>
        <w:footnoteRef/>
      </w:r>
      <w:r>
        <w:t xml:space="preserve">Deprez </w:t>
      </w:r>
      <w:r>
        <w:t>et al. (2018), p. 140</w:t>
      </w:r>
    </w:p>
  </w:footnote>
  <w:footnote w:id="3">
    <w:p w:rsidR="00C15B5A" w:rsidRDefault="008A40F1" w14:paraId="7D26508D" w14:textId="0F2F6D2C">
      <w:pPr>
        <w:pStyle w:val="Funotentext"/>
      </w:pPr>
      <w:r>
        <w:rPr>
          <w:rStyle w:val="Funotenzeichen"/>
        </w:rPr>
        <w:footnoteRef/>
      </w:r>
      <w:r>
        <w:t xml:space="preserve">Deprez </w:t>
      </w:r>
      <w:r>
        <w:t>et al. (2018), p.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5B5A" w:rsidRDefault="008A40F1"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2F163F3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C15B5A" w:rsidRDefault="008A40F1"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5EB48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1450D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C15B5A" w:rsidRDefault="00C15B5A" w14:paraId="219D9999" w14:textId="50E16F0E">
    <w:pPr>
      <w:pStyle w:val="Textkrper"/>
      <w:tabs>
        <w:tab w:val="left" w:pos="426"/>
        <w:tab w:val="left" w:pos="11199"/>
      </w:tabs>
    </w:pPr>
  </w:p>
  <w:p w:rsidR="00C15B5A" w:rsidRDefault="00C15B5A" w14:paraId="48E6A0BB" w14:textId="77777777">
    <w:pPr>
      <w:pStyle w:val="Textkrper"/>
      <w:jc w:val="center"/>
      <w:rPr>
        <w:rFonts w:ascii="Calibri Light" w:hAnsi="Calibri Light" w:cs="Calibri Light"/>
        <w:sz w:val="12"/>
      </w:rPr>
    </w:pPr>
  </w:p>
  <w:p w:rsidR="00C15B5A" w:rsidRDefault="00C15B5A" w14:paraId="4972850E" w14:textId="77777777">
    <w:pPr>
      <w:pStyle w:val="Textkrper"/>
      <w:jc w:val="center"/>
      <w:rPr>
        <w:rFonts w:ascii="Calibri Light" w:hAnsi="Calibri Light" w:cs="Calibri Light"/>
        <w:sz w:val="12"/>
      </w:rPr>
    </w:pPr>
  </w:p>
  <w:p w:rsidR="00C15B5A" w:rsidRDefault="00C15B5A" w14:paraId="1E061BA8" w14:textId="77777777">
    <w:pPr>
      <w:pStyle w:val="Textkrper"/>
      <w:jc w:val="center"/>
      <w:rPr>
        <w:rFonts w:ascii="Calibri Light" w:hAnsi="Calibri Light" w:cs="Calibri Light"/>
        <w:sz w:val="12"/>
      </w:rPr>
    </w:pPr>
  </w:p>
  <w:p w:rsidR="00C15B5A" w:rsidRDefault="00C15B5A" w14:paraId="54917538" w14:textId="77777777">
    <w:pPr>
      <w:pStyle w:val="Textkrper"/>
      <w:jc w:val="center"/>
      <w:rPr>
        <w:rFonts w:ascii="Calibri Light" w:hAnsi="Calibri Light" w:cs="Calibri Light"/>
        <w:sz w:val="12"/>
      </w:rPr>
    </w:pPr>
  </w:p>
  <w:p w:rsidR="00C15B5A" w:rsidRDefault="00C15B5A" w14:paraId="1A025CEA" w14:textId="77777777">
    <w:pPr>
      <w:pStyle w:val="Textkrper"/>
      <w:jc w:val="center"/>
      <w:rPr>
        <w:rFonts w:ascii="Calibri Light" w:hAnsi="Calibri Light" w:cs="Calibri Light"/>
        <w:sz w:val="14"/>
      </w:rPr>
    </w:pPr>
  </w:p>
  <w:p w:rsidR="00C15B5A" w:rsidRDefault="008A40F1" w14:paraId="3790892B" w14:textId="6E99D4C6">
    <w:pPr>
      <w:pStyle w:val="P68B1DB1-Textkrper7"/>
      <w:jc w:val="center"/>
    </w:pPr>
    <w:r>
      <w:t>Genieproject.eu</w:t>
    </w:r>
  </w:p>
  <w:p w:rsidR="00C15B5A" w:rsidRDefault="00C15B5A"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829901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020520">
    <w:abstractNumId w:val="24"/>
  </w:num>
  <w:num w:numId="3" w16cid:durableId="1903251574">
    <w:abstractNumId w:val="9"/>
  </w:num>
  <w:num w:numId="4" w16cid:durableId="300697280">
    <w:abstractNumId w:val="15"/>
  </w:num>
  <w:num w:numId="5" w16cid:durableId="982273479">
    <w:abstractNumId w:val="7"/>
  </w:num>
  <w:num w:numId="6" w16cid:durableId="938639222">
    <w:abstractNumId w:val="23"/>
  </w:num>
  <w:num w:numId="7" w16cid:durableId="410390619">
    <w:abstractNumId w:val="14"/>
  </w:num>
  <w:num w:numId="8" w16cid:durableId="1975061171">
    <w:abstractNumId w:val="13"/>
  </w:num>
  <w:num w:numId="9" w16cid:durableId="1050574775">
    <w:abstractNumId w:val="17"/>
  </w:num>
  <w:num w:numId="10" w16cid:durableId="853691755">
    <w:abstractNumId w:val="12"/>
  </w:num>
  <w:num w:numId="11" w16cid:durableId="956791116">
    <w:abstractNumId w:val="6"/>
  </w:num>
  <w:num w:numId="12" w16cid:durableId="1907449063">
    <w:abstractNumId w:val="8"/>
  </w:num>
  <w:num w:numId="13" w16cid:durableId="1241713946">
    <w:abstractNumId w:val="21"/>
  </w:num>
  <w:num w:numId="14" w16cid:durableId="1269505211">
    <w:abstractNumId w:val="25"/>
  </w:num>
  <w:num w:numId="15" w16cid:durableId="1721516315">
    <w:abstractNumId w:val="16"/>
  </w:num>
  <w:num w:numId="16" w16cid:durableId="1517116770">
    <w:abstractNumId w:val="1"/>
  </w:num>
  <w:num w:numId="17" w16cid:durableId="27604782">
    <w:abstractNumId w:val="22"/>
  </w:num>
  <w:num w:numId="18" w16cid:durableId="860359953">
    <w:abstractNumId w:val="26"/>
  </w:num>
  <w:num w:numId="19" w16cid:durableId="1481651166">
    <w:abstractNumId w:val="2"/>
  </w:num>
  <w:num w:numId="20" w16cid:durableId="93090973">
    <w:abstractNumId w:val="19"/>
  </w:num>
  <w:num w:numId="21" w16cid:durableId="779107650">
    <w:abstractNumId w:val="20"/>
  </w:num>
  <w:num w:numId="22" w16cid:durableId="387463815">
    <w:abstractNumId w:val="5"/>
  </w:num>
  <w:num w:numId="23" w16cid:durableId="1589384627">
    <w:abstractNumId w:val="18"/>
  </w:num>
  <w:num w:numId="24" w16cid:durableId="1868447893">
    <w:abstractNumId w:val="11"/>
  </w:num>
  <w:num w:numId="25" w16cid:durableId="1796485452">
    <w:abstractNumId w:val="3"/>
  </w:num>
  <w:num w:numId="26" w16cid:durableId="834028982">
    <w:abstractNumId w:val="0"/>
  </w:num>
  <w:num w:numId="27" w16cid:durableId="823739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A1CB8"/>
    <w:rsid w:val="003C16FF"/>
    <w:rsid w:val="003D13EC"/>
    <w:rsid w:val="00403D96"/>
    <w:rsid w:val="00404410"/>
    <w:rsid w:val="004369A0"/>
    <w:rsid w:val="00467D9D"/>
    <w:rsid w:val="00473D54"/>
    <w:rsid w:val="004B10DB"/>
    <w:rsid w:val="004C4FAF"/>
    <w:rsid w:val="004E03FB"/>
    <w:rsid w:val="004F3F08"/>
    <w:rsid w:val="004F4401"/>
    <w:rsid w:val="0051401B"/>
    <w:rsid w:val="0051620C"/>
    <w:rsid w:val="005248A4"/>
    <w:rsid w:val="00536144"/>
    <w:rsid w:val="005474D9"/>
    <w:rsid w:val="0055064D"/>
    <w:rsid w:val="005517B6"/>
    <w:rsid w:val="00607766"/>
    <w:rsid w:val="00612469"/>
    <w:rsid w:val="00617ADA"/>
    <w:rsid w:val="00624146"/>
    <w:rsid w:val="006279B0"/>
    <w:rsid w:val="0066250A"/>
    <w:rsid w:val="006B4332"/>
    <w:rsid w:val="006C06AD"/>
    <w:rsid w:val="007117B3"/>
    <w:rsid w:val="007E413D"/>
    <w:rsid w:val="007E6542"/>
    <w:rsid w:val="00826CC7"/>
    <w:rsid w:val="008276F3"/>
    <w:rsid w:val="0085205A"/>
    <w:rsid w:val="00853A2D"/>
    <w:rsid w:val="00857167"/>
    <w:rsid w:val="00884B7D"/>
    <w:rsid w:val="008A40F1"/>
    <w:rsid w:val="008E08F1"/>
    <w:rsid w:val="00921994"/>
    <w:rsid w:val="009248D3"/>
    <w:rsid w:val="009750CD"/>
    <w:rsid w:val="009843CB"/>
    <w:rsid w:val="00986C6F"/>
    <w:rsid w:val="00993327"/>
    <w:rsid w:val="009A443E"/>
    <w:rsid w:val="009E371B"/>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427E"/>
    <w:rsid w:val="00BF531A"/>
    <w:rsid w:val="00C040A1"/>
    <w:rsid w:val="00C07B0F"/>
    <w:rsid w:val="00C15B5A"/>
    <w:rsid w:val="00C35E6B"/>
    <w:rsid w:val="00C47362"/>
    <w:rsid w:val="00C8382D"/>
    <w:rsid w:val="00C97ACD"/>
    <w:rsid w:val="00CD0456"/>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22E559DD"/>
    <w:rsid w:val="305AAF7C"/>
    <w:rsid w:val="47BAAF60"/>
    <w:rsid w:val="63EE2067"/>
    <w:rsid w:val="7E85C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rPr>
  </w:style>
  <w:style w:type="character" w:styleId="FunotentextZchn" w:customStyle="1">
    <w:name w:val="Fußnotentext Zchn"/>
    <w:basedOn w:val="Absatz-Standardschriftart"/>
    <w:link w:val="Funotentext"/>
    <w:uiPriority w:val="99"/>
    <w:semiHidden/>
    <w:rsid w:val="00BF427E"/>
    <w:rPr>
      <w:rFonts w:ascii="Times New Roman" w:hAnsi="Times New Roman" w:eastAsia="Times New Roman" w:cs="Times New Roman"/>
      <w:sz w:val="20"/>
    </w:rPr>
  </w:style>
  <w:style w:type="character" w:styleId="Funotenzeichen">
    <w:name w:val="footnote reference"/>
    <w:basedOn w:val="Absatz-Standardschriftart"/>
    <w:uiPriority w:val="99"/>
    <w:semiHidden/>
    <w:unhideWhenUsed/>
    <w:rsid w:val="00BF427E"/>
    <w:rPr>
      <w:vertAlign w:val="superscript"/>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FFFFFF" w:themeColor="background1"/>
    </w:rPr>
  </w:style>
  <w:style w:type="paragraph" w:styleId="P68B1DB1-Standard3" w:customStyle="1">
    <w:name w:val="P68B1DB1-Standard3"/>
    <w:basedOn w:val="Standard"/>
    <w:rPr>
      <w:rFonts w:ascii="Helvetica neue" w:hAnsi="Helvetica neue" w:cstheme="minorHAnsi"/>
    </w:rPr>
  </w:style>
  <w:style w:type="paragraph" w:styleId="P68B1DB1-Standard4" w:customStyle="1">
    <w:name w:val="P68B1DB1-Standard4"/>
    <w:basedOn w:val="Standard"/>
    <w:rPr>
      <w:rFonts w:ascii="Helvetica neue" w:hAnsi="Helvetica neue" w:eastAsia="Calibri" w:cstheme="minorHAnsi"/>
    </w:rPr>
  </w:style>
  <w:style w:type="paragraph" w:styleId="P68B1DB1-Listenabsatz5" w:customStyle="1">
    <w:name w:val="P68B1DB1-Listenabsatz5"/>
    <w:basedOn w:val="Listenabsatz"/>
    <w:rPr>
      <w:rFonts w:ascii="Helvetica neue" w:hAnsi="Helvetica neue" w:cstheme="minorHAnsi"/>
    </w:rPr>
  </w:style>
  <w:style w:type="paragraph" w:styleId="P68B1DB1-Listenabsatz6" w:customStyle="1">
    <w:name w:val="P68B1DB1-Listenabsatz6"/>
    <w:basedOn w:val="Listenabsatz"/>
    <w:rPr>
      <w:rFonts w:ascii="Helvetica neue" w:hAnsi="Helvetica neue" w:cstheme="minorHAnsi"/>
      <w:b/>
    </w:rPr>
  </w:style>
  <w:style w:type="paragraph" w:styleId="P68B1DB1-Textkrper7" w:customStyle="1">
    <w:name w:val="P68B1DB1-Textkrper7"/>
    <w:basedOn w:val="Textkrper"/>
    <w:rPr>
      <w:rFonts w:ascii="Calibri Light" w:hAnsi="Calibri Light" w:cs="Calibri Light"/>
      <w:sz w:val="14"/>
    </w:rPr>
  </w:style>
  <w:style w:type="paragraph" w:styleId="P68B1DB1-Fuzeile8" w:customStyle="1">
    <w:name w:val="P68B1DB1-Fuzeile8"/>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772ef02db18644c4" /><Relationship Type="http://schemas.openxmlformats.org/officeDocument/2006/relationships/image" Target="/media/image4.jpg" Id="Rf6cf6e1c7379498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A095-EE95-448D-A574-6D0912BF6F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2022-11-28T12:03:00.0000000Z</dcterms:created>
  <dcterms:modified xsi:type="dcterms:W3CDTF">2024-01-31T12:34:01.9932346Z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