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39B" w:rsidRDefault="00B43B74" w14:paraId="40C8FAEC" w14:textId="673462D7">
      <w:pPr>
        <w:pStyle w:val="P68B1DB1-Textkrper1"/>
        <w:tabs>
          <w:tab w:val="left" w:pos="567"/>
          <w:tab w:val="left" w:pos="10773"/>
        </w:tabs>
        <w:ind w:left="-567" w:right="-568"/>
        <w:jc w:val="center"/>
      </w:pPr>
      <w:r>
        <w:t xml:space="preserve">Ficha de </w:t>
      </w:r>
      <w:r w:rsidR="005175F0">
        <w:t>formación</w:t>
      </w:r>
      <w:r>
        <w:t>:</w:t>
      </w:r>
    </w:p>
    <w:p w:rsidRPr="005175F0" w:rsidR="005175F0" w:rsidP="005175F0" w:rsidRDefault="00B43B74" w14:paraId="45079680" w14:textId="77777777">
      <w:pPr>
        <w:pStyle w:val="P68B1DB1-Standard2"/>
        <w:ind w:left="-567" w:right="-568"/>
        <w:jc w:val="center"/>
      </w:pPr>
      <w:r>
        <w:t xml:space="preserve"> </w:t>
      </w:r>
      <w:r w:rsidRPr="005175F0" w:rsidR="005175F0">
        <w:t xml:space="preserve">Hacer que las cosas sucedan 1: </w:t>
      </w:r>
    </w:p>
    <w:p w:rsidR="003B439B" w:rsidP="005175F0" w:rsidRDefault="005175F0" w14:paraId="2A60A73F" w14:textId="4F2583A4">
      <w:pPr>
        <w:pStyle w:val="P68B1DB1-Standard2"/>
        <w:ind w:left="-567" w:right="-568"/>
        <w:jc w:val="center"/>
      </w:pPr>
      <w:r w:rsidRPr="005175F0">
        <w:t>Una guía del usuario de factores desencadenantes para nutrir, evaluar y recompensar las actitudes empresariales y el sentido de la iniciativa</w:t>
      </w:r>
    </w:p>
    <w:p w:rsidR="003B439B" w:rsidRDefault="003B439B" w14:paraId="765BDD30" w14:textId="77777777">
      <w:pPr>
        <w:ind w:left="-567" w:right="-568"/>
        <w:rPr>
          <w:rFonts w:ascii="Helvetica neue" w:hAnsi="Helvetica neue" w:cstheme="majorHAnsi"/>
          <w:b/>
          <w:color w:val="4D94B7"/>
          <w:sz w:val="40"/>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003B439B"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003B439B" w:rsidRDefault="00B43B74" w14:paraId="2541AA74" w14:textId="77777777">
            <w:pPr>
              <w:pStyle w:val="P68B1DB1-Standard3"/>
            </w:pPr>
            <w:r>
              <w:t>Palabras clave </w:t>
            </w:r>
          </w:p>
          <w:p w:rsidR="003B439B" w:rsidRDefault="00B43B74" w14:paraId="727B59D1" w14:textId="3183B84A">
            <w:pPr>
              <w:pStyle w:val="P68B1DB1-Standard3"/>
            </w:pPr>
            <w:r>
              <w:t>(meta tag)</w:t>
            </w:r>
          </w:p>
        </w:tc>
        <w:tc>
          <w:tcPr>
            <w:tcW w:w="7824" w:type="dxa"/>
            <w:shd w:val="clear" w:color="auto" w:fill="FFFFFF" w:themeFill="background1"/>
          </w:tcPr>
          <w:p w:rsidR="003B439B" w:rsidRDefault="00B43B74" w14:paraId="01319779" w14:textId="48596B8A">
            <w:pPr>
              <w:pStyle w:val="P68B1DB1-Standard4"/>
            </w:pPr>
            <w:r>
              <w:t xml:space="preserve">Intraemprendimiento, </w:t>
            </w:r>
            <w:r w:rsidR="005175F0">
              <w:t>mipymes</w:t>
            </w:r>
            <w:r>
              <w:t>, actitud intraempre</w:t>
            </w:r>
            <w:r w:rsidR="005175F0">
              <w:t xml:space="preserve">dedora, </w:t>
            </w:r>
            <w:r>
              <w:t xml:space="preserve">cultura </w:t>
            </w:r>
            <w:r w:rsidR="005175F0">
              <w:t>intraemprededora</w:t>
            </w:r>
          </w:p>
        </w:tc>
      </w:tr>
      <w:tr w:rsidR="003B439B"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3D5C6F61" w14:textId="77777777">
            <w:pPr>
              <w:pStyle w:val="P68B1DB1-Standard3"/>
            </w:pPr>
            <w:r>
              <w:t>Idioma</w:t>
            </w:r>
          </w:p>
        </w:tc>
        <w:tc>
          <w:tcPr>
            <w:tcW w:w="7824" w:type="dxa"/>
            <w:shd w:val="clear" w:color="auto" w:fill="FFFFFF" w:themeFill="background1"/>
          </w:tcPr>
          <w:p w:rsidR="003B439B" w:rsidRDefault="005175F0" w14:paraId="1E29AC1D" w14:textId="1A429703">
            <w:pPr>
              <w:pStyle w:val="P68B1DB1-Standard5"/>
            </w:pPr>
            <w:r>
              <w:t xml:space="preserve">Español </w:t>
            </w:r>
          </w:p>
        </w:tc>
      </w:tr>
      <w:tr w:rsidR="003B439B"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4258431E" w14:textId="305927AE">
            <w:pPr>
              <w:pStyle w:val="P68B1DB1-Standard3"/>
            </w:pPr>
            <w:r>
              <w:t>Objetivos/Objetivos/Resultados de aprendizaje</w:t>
            </w:r>
          </w:p>
        </w:tc>
        <w:tc>
          <w:tcPr>
            <w:tcW w:w="7824" w:type="dxa"/>
            <w:shd w:val="clear" w:color="auto" w:fill="FFFFFF" w:themeFill="background1"/>
          </w:tcPr>
          <w:p w:rsidR="003B439B" w:rsidRDefault="00B43B74" w14:paraId="339AA64E" w14:textId="40FF1AE9">
            <w:pPr>
              <w:pStyle w:val="P68B1DB1-Listenabsatz6"/>
              <w:numPr>
                <w:ilvl w:val="0"/>
                <w:numId w:val="26"/>
              </w:numPr>
            </w:pPr>
            <w:r>
              <w:t>Comprender lo esencial del intraemprendimiento</w:t>
            </w:r>
          </w:p>
          <w:p w:rsidR="003B439B" w:rsidRDefault="00B43B74" w14:paraId="4EEAC152" w14:textId="5A324A3E">
            <w:pPr>
              <w:pStyle w:val="P68B1DB1-Listenabsatz6"/>
              <w:numPr>
                <w:ilvl w:val="0"/>
                <w:numId w:val="26"/>
              </w:numPr>
            </w:pPr>
            <w:r>
              <w:t xml:space="preserve">Implementar los </w:t>
            </w:r>
            <w:r w:rsidRPr="005175F0" w:rsidR="005175F0">
              <w:rPr>
                <w:i/>
                <w:iCs/>
              </w:rPr>
              <w:t>DO’s</w:t>
            </w:r>
            <w:r w:rsidRPr="005175F0">
              <w:rPr>
                <w:i/>
                <w:iCs/>
              </w:rPr>
              <w:t xml:space="preserve"> </w:t>
            </w:r>
            <w:r>
              <w:t xml:space="preserve">y </w:t>
            </w:r>
            <w:r w:rsidRPr="005175F0">
              <w:rPr>
                <w:i/>
                <w:iCs/>
              </w:rPr>
              <w:t>DON’Ts</w:t>
            </w:r>
            <w:r>
              <w:t xml:space="preserve"> para fomentar la cultura </w:t>
            </w:r>
            <w:r w:rsidR="005175F0">
              <w:t>intraemprededora</w:t>
            </w:r>
          </w:p>
          <w:p w:rsidR="003B439B" w:rsidRDefault="00282D81" w14:paraId="1F074F77" w14:textId="62CAC7D1">
            <w:pPr>
              <w:pStyle w:val="P68B1DB1-Listenabsatz6"/>
              <w:numPr>
                <w:ilvl w:val="0"/>
                <w:numId w:val="26"/>
              </w:numPr>
            </w:pPr>
            <w:r>
              <w:t>Ajustar</w:t>
            </w:r>
            <w:r w:rsidR="00B43B74">
              <w:t xml:space="preserve"> un enfoque de gestión renovado</w:t>
            </w:r>
          </w:p>
          <w:p w:rsidR="003B439B" w:rsidRDefault="00B43B74" w14:paraId="7680588D" w14:textId="0B055B5E">
            <w:pPr>
              <w:pStyle w:val="P68B1DB1-Listenabsatz6"/>
              <w:numPr>
                <w:ilvl w:val="0"/>
                <w:numId w:val="26"/>
              </w:numPr>
            </w:pPr>
            <w:r>
              <w:t xml:space="preserve">Buenas </w:t>
            </w:r>
            <w:r w:rsidR="00282D81">
              <w:t>(</w:t>
            </w:r>
            <w:r>
              <w:t>y no tan buenas</w:t>
            </w:r>
            <w:r w:rsidR="00282D81">
              <w:t>)</w:t>
            </w:r>
            <w:r>
              <w:t xml:space="preserve"> prácticas para </w:t>
            </w:r>
            <w:r w:rsidR="00282D81">
              <w:t>alimentar a</w:t>
            </w:r>
            <w:r>
              <w:t xml:space="preserve"> los espíritus </w:t>
            </w:r>
            <w:r w:rsidR="00282D81">
              <w:t>intraemprededores</w:t>
            </w:r>
          </w:p>
          <w:p w:rsidR="003B439B" w:rsidRDefault="00B43B74" w14:paraId="34D20EA3" w14:textId="2D37AB7D">
            <w:pPr>
              <w:pStyle w:val="P68B1DB1-Listenabsatz6"/>
              <w:numPr>
                <w:ilvl w:val="0"/>
                <w:numId w:val="26"/>
              </w:numPr>
            </w:pPr>
            <w:r>
              <w:t>Desencadenantes e inhibidores del sentido de iniciativa de sus empleados</w:t>
            </w:r>
          </w:p>
          <w:p w:rsidRPr="005C6D5C" w:rsidR="003B439B" w:rsidP="005C6D5C" w:rsidRDefault="00282D81" w14:paraId="4F13BF06" w14:textId="25F7CE37">
            <w:pPr>
              <w:pStyle w:val="Listenabsatz"/>
              <w:numPr>
                <w:ilvl w:val="0"/>
                <w:numId w:val="26"/>
              </w:numPr>
              <w:rPr>
                <w:rFonts w:ascii="Helvetica neue" w:hAnsi="Helvetica neue" w:cstheme="minorHAnsi"/>
              </w:rPr>
            </w:pPr>
            <w:r w:rsidRPr="00282D81">
              <w:rPr>
                <w:rFonts w:ascii="Helvetica neue" w:hAnsi="Helvetica neue" w:cstheme="minorHAnsi"/>
              </w:rPr>
              <w:t xml:space="preserve">Aprovechar un enfoque de gestión </w:t>
            </w:r>
            <w:r>
              <w:rPr>
                <w:rFonts w:ascii="Helvetica neue" w:hAnsi="Helvetica neue" w:cstheme="minorHAnsi"/>
              </w:rPr>
              <w:t>favorable al</w:t>
            </w:r>
            <w:r w:rsidRPr="00282D81">
              <w:rPr>
                <w:rFonts w:ascii="Helvetica neue" w:hAnsi="Helvetica neue" w:cstheme="minorHAnsi"/>
              </w:rPr>
              <w:t xml:space="preserve"> el intraemprendimiento</w:t>
            </w:r>
          </w:p>
        </w:tc>
      </w:tr>
      <w:tr w:rsidR="003B439B"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242772F7" w14:textId="013885FF">
            <w:pPr>
              <w:pStyle w:val="P68B1DB1-Standard3"/>
            </w:pPr>
            <w:r>
              <w:t>Nivel del MEC</w:t>
            </w:r>
          </w:p>
        </w:tc>
        <w:tc>
          <w:tcPr>
            <w:tcW w:w="7824" w:type="dxa"/>
            <w:shd w:val="clear" w:color="auto" w:fill="FFFFFF" w:themeFill="background1"/>
          </w:tcPr>
          <w:p w:rsidR="003B439B" w:rsidRDefault="00B43B74" w14:paraId="18723BA9" w14:textId="1BD8D019">
            <w:pPr>
              <w:pStyle w:val="P68B1DB1-Standard5"/>
            </w:pPr>
            <w:r>
              <w:t>Nivel 4</w:t>
            </w:r>
          </w:p>
        </w:tc>
      </w:tr>
      <w:tr w:rsidR="003B439B"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2897C3E5" w14:textId="77777777">
            <w:pPr>
              <w:pStyle w:val="P68B1DB1-Standard3"/>
            </w:pPr>
            <w:r>
              <w:t>Descripción</w:t>
            </w:r>
          </w:p>
        </w:tc>
        <w:tc>
          <w:tcPr>
            <w:tcW w:w="7824" w:type="dxa"/>
            <w:shd w:val="clear" w:color="auto" w:fill="FFFFFF" w:themeFill="background1"/>
          </w:tcPr>
          <w:p w:rsidRPr="00282D81" w:rsidR="00282D81" w:rsidP="00282D81" w:rsidRDefault="00282D81" w14:paraId="74B504E0" w14:textId="77777777">
            <w:pPr>
              <w:pStyle w:val="P68B1DB1-Standard4"/>
              <w:textAlignment w:val="baseline"/>
              <w:rPr>
                <w:rFonts w:ascii="Helvetica" w:hAnsi="Helvetica"/>
              </w:rPr>
            </w:pPr>
            <w:r w:rsidRPr="00282D81">
              <w:rPr>
                <w:rFonts w:ascii="Helvetica" w:hAnsi="Helvetica"/>
              </w:rPr>
              <w:t>Hay muchos conceptos erróneos sobre el emprendimiento, y lo más importante, la actitud emprendedora.</w:t>
            </w:r>
          </w:p>
          <w:p w:rsidRPr="00282D81" w:rsidR="00282D81" w:rsidP="00282D81" w:rsidRDefault="00282D81" w14:paraId="5F88F252" w14:textId="77777777">
            <w:pPr>
              <w:pStyle w:val="P68B1DB1-Standard4"/>
              <w:textAlignment w:val="baseline"/>
              <w:rPr>
                <w:rFonts w:ascii="Helvetica" w:hAnsi="Helvetica"/>
              </w:rPr>
            </w:pPr>
          </w:p>
          <w:p w:rsidRPr="00282D81" w:rsidR="00282D81" w:rsidP="00282D81" w:rsidRDefault="00282D81" w14:paraId="23C511D3" w14:textId="1256157E">
            <w:pPr>
              <w:pStyle w:val="P68B1DB1-Standard4"/>
              <w:textAlignment w:val="baseline"/>
              <w:rPr>
                <w:rFonts w:ascii="Helvetica" w:hAnsi="Helvetica"/>
              </w:rPr>
            </w:pPr>
            <w:r w:rsidRPr="00282D81">
              <w:rPr>
                <w:rFonts w:ascii="Helvetica" w:hAnsi="Helvetica"/>
              </w:rPr>
              <w:t>El tono tiende a ser a menudo demasiado vago, hipersimplificado e impregnado por un sentido de positividad forzada, como si las actitudes empresariales viniesen solo de la capacidad de permanecer excesivamente motivados y positivos.</w:t>
            </w:r>
          </w:p>
          <w:p w:rsidRPr="00282D81" w:rsidR="00282D81" w:rsidP="00282D81" w:rsidRDefault="00282D81" w14:paraId="5A49A3EB" w14:textId="77777777">
            <w:pPr>
              <w:pStyle w:val="P68B1DB1-Standard4"/>
              <w:textAlignment w:val="baseline"/>
              <w:rPr>
                <w:rFonts w:ascii="Helvetica" w:hAnsi="Helvetica"/>
              </w:rPr>
            </w:pPr>
          </w:p>
          <w:p w:rsidRPr="00282D81" w:rsidR="00282D81" w:rsidP="00282D81" w:rsidRDefault="00282D81" w14:paraId="56224729" w14:textId="77777777">
            <w:pPr>
              <w:pStyle w:val="P68B1DB1-Standard4"/>
              <w:textAlignment w:val="baseline"/>
              <w:rPr>
                <w:rFonts w:ascii="Helvetica" w:hAnsi="Helvetica"/>
              </w:rPr>
            </w:pPr>
            <w:r w:rsidRPr="00282D81">
              <w:rPr>
                <w:rFonts w:ascii="Helvetica" w:hAnsi="Helvetica"/>
              </w:rPr>
              <w:t xml:space="preserve">Esta falsa sensación de optimismo amenaza con ocultar en la sombra la dura realidad de ser una persona impulsada por la actitud emprendedora y la mentalidad, y lo que realmente se necesita para favorecer el surgimiento de entornos operativos favorables al el intraemprendimiento. </w:t>
            </w:r>
          </w:p>
          <w:p w:rsidRPr="00282D81" w:rsidR="00282D81" w:rsidP="00282D81" w:rsidRDefault="00282D81" w14:paraId="7C10D319" w14:textId="77777777">
            <w:pPr>
              <w:pStyle w:val="P68B1DB1-Standard4"/>
              <w:textAlignment w:val="baseline"/>
              <w:rPr>
                <w:rFonts w:ascii="Helvetica" w:hAnsi="Helvetica"/>
              </w:rPr>
            </w:pPr>
          </w:p>
          <w:p w:rsidR="003B439B" w:rsidP="00282D81" w:rsidRDefault="00282D81" w14:paraId="6142E15C" w14:textId="2C7F52CE">
            <w:pPr>
              <w:pStyle w:val="P68B1DB1-Standard4"/>
              <w:textAlignment w:val="baseline"/>
              <w:rPr>
                <w:b/>
              </w:rPr>
            </w:pPr>
            <w:r w:rsidRPr="00282D81">
              <w:rPr>
                <w:rFonts w:ascii="Helvetica" w:hAnsi="Helvetica" w:cs="Times New Roman"/>
              </w:rPr>
              <w:t>El contenido de este módulo está destinado a proporcionar las directrices en las que confiar para establecer lo esencial de las organizaciones con capacidad intraemprendedora.</w:t>
            </w:r>
          </w:p>
        </w:tc>
      </w:tr>
      <w:tr w:rsidR="003B439B"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07FCB4D4" w14:textId="77777777">
            <w:pPr>
              <w:pStyle w:val="P68B1DB1-Standard3"/>
              <w:rPr>
                <w:rFonts w:eastAsia="Calibri"/>
              </w:rPr>
            </w:pPr>
            <w:r>
              <w:lastRenderedPageBreak/>
              <w:t>Contenidos dispuestos en 3 niveles</w:t>
            </w:r>
          </w:p>
        </w:tc>
        <w:tc>
          <w:tcPr>
            <w:tcW w:w="7824" w:type="dxa"/>
            <w:shd w:val="clear" w:color="auto" w:fill="FFFFFF" w:themeFill="background1"/>
          </w:tcPr>
          <w:p w:rsidR="00282D81" w:rsidRDefault="00282D81" w14:paraId="2A13598D" w14:textId="55FB14EC">
            <w:pPr>
              <w:pStyle w:val="P68B1DB1-Listenabsatz7"/>
              <w:numPr>
                <w:ilvl w:val="0"/>
                <w:numId w:val="21"/>
              </w:numPr>
              <w:textAlignment w:val="baseline"/>
            </w:pPr>
            <w:r w:rsidRPr="00282D81">
              <w:t>DO's y DON’Ts</w:t>
            </w:r>
          </w:p>
          <w:p w:rsidRPr="00282D81" w:rsidR="00282D81" w:rsidP="00282D81" w:rsidRDefault="00282D81" w14:paraId="30D10D0F" w14:textId="74E04A88">
            <w:pPr>
              <w:pStyle w:val="P68B1DB1-Listenabsatz6"/>
              <w:numPr>
                <w:ilvl w:val="1"/>
                <w:numId w:val="21"/>
              </w:numPr>
              <w:textAlignment w:val="baseline"/>
            </w:pPr>
            <w:r w:rsidRPr="00282D81">
              <w:t>Lección de historia — Espíritus animales</w:t>
            </w:r>
          </w:p>
          <w:p w:rsidRPr="00282D81" w:rsidR="00282D81" w:rsidP="00282D81" w:rsidRDefault="00282D81" w14:paraId="5EEEC2ED" w14:textId="331F3A71">
            <w:pPr>
              <w:pStyle w:val="P68B1DB1-Listenabsatz6"/>
              <w:numPr>
                <w:ilvl w:val="1"/>
                <w:numId w:val="21"/>
              </w:numPr>
              <w:textAlignment w:val="baseline"/>
            </w:pPr>
            <w:r w:rsidRPr="00282D81">
              <w:t>Una crítica — ¿Los espíritus animales realmente trabajan para el espíritu empresarial y el sentido de la actitud emprendedora?</w:t>
            </w:r>
          </w:p>
          <w:p w:rsidRPr="00282D81" w:rsidR="00282D81" w:rsidP="00282D81" w:rsidRDefault="00282D81" w14:paraId="08B8ED12" w14:textId="78BCAE18">
            <w:pPr>
              <w:pStyle w:val="P68B1DB1-Listenabsatz6"/>
              <w:numPr>
                <w:ilvl w:val="1"/>
                <w:numId w:val="21"/>
              </w:numPr>
              <w:textAlignment w:val="baseline"/>
            </w:pPr>
            <w:r w:rsidRPr="00282D81">
              <w:t>¡Inspirar y motivar!...¿o tal vez no? El intraemprendimiento no funciona para todos...</w:t>
            </w:r>
          </w:p>
          <w:p w:rsidRPr="00282D81" w:rsidR="00282D81" w:rsidP="00282D81" w:rsidRDefault="00282D81" w14:paraId="396B7F64" w14:textId="6B0912E7">
            <w:pPr>
              <w:pStyle w:val="P68B1DB1-Listenabsatz6"/>
              <w:numPr>
                <w:ilvl w:val="1"/>
                <w:numId w:val="21"/>
              </w:numPr>
              <w:textAlignment w:val="baseline"/>
            </w:pPr>
            <w:r w:rsidRPr="00282D81">
              <w:t>Cuidado con las trampas — Zigzaguear a través de inhibidores comunes y barreras para el intraemprendimiento</w:t>
            </w:r>
          </w:p>
          <w:p w:rsidRPr="00282D81" w:rsidR="00282D81" w:rsidP="00282D81" w:rsidRDefault="00282D81" w14:paraId="6C02ED7A" w14:textId="46881B3C">
            <w:pPr>
              <w:pStyle w:val="P68B1DB1-Listenabsatz6"/>
              <w:numPr>
                <w:ilvl w:val="1"/>
                <w:numId w:val="21"/>
              </w:numPr>
              <w:textAlignment w:val="baseline"/>
            </w:pPr>
            <w:r w:rsidRPr="00282D81">
              <w:t>No se permite una visión a corto plazo — Esperar a que la planta florezca...</w:t>
            </w:r>
          </w:p>
          <w:p w:rsidRPr="00282D81" w:rsidR="00282D81" w:rsidP="00282D81" w:rsidRDefault="00282D81" w14:paraId="475D4C78" w14:textId="6B88A664">
            <w:pPr>
              <w:pStyle w:val="P68B1DB1-Listenabsatz6"/>
              <w:numPr>
                <w:ilvl w:val="1"/>
                <w:numId w:val="21"/>
              </w:numPr>
              <w:textAlignment w:val="baseline"/>
            </w:pPr>
            <w:r w:rsidRPr="00282D81">
              <w:t>Construir un sistema que esté aquí para quedarse — Practicar la resistencia y la resiliencia</w:t>
            </w:r>
          </w:p>
          <w:p w:rsidRPr="00282D81" w:rsidR="003B439B" w:rsidP="00282D81" w:rsidRDefault="00282D81" w14:paraId="31007CAB" w14:textId="14EA3364">
            <w:pPr>
              <w:pStyle w:val="Listenabsatz"/>
              <w:numPr>
                <w:ilvl w:val="1"/>
                <w:numId w:val="21"/>
              </w:numPr>
              <w:textAlignment w:val="baseline"/>
              <w:rPr>
                <w:rFonts w:ascii="Helvetica neue" w:hAnsi="Helvetica neue" w:cstheme="minorHAnsi"/>
                <w:b/>
              </w:rPr>
            </w:pPr>
            <w:r w:rsidRPr="00282D81">
              <w:t xml:space="preserve"> La fórmula mágica no lo es— Abraza la incertidumbre...dentro de algunos grados</w:t>
            </w:r>
          </w:p>
          <w:p w:rsidR="00282D81" w:rsidP="00282D81" w:rsidRDefault="00282D81" w14:paraId="77C251ED" w14:textId="77777777">
            <w:pPr>
              <w:pStyle w:val="Listenabsatz"/>
              <w:ind w:left="680"/>
              <w:textAlignment w:val="baseline"/>
              <w:rPr>
                <w:rFonts w:ascii="Helvetica neue" w:hAnsi="Helvetica neue" w:cstheme="minorHAnsi"/>
                <w:b/>
              </w:rPr>
            </w:pPr>
          </w:p>
          <w:p w:rsidRPr="00282D81" w:rsidR="003B439B" w:rsidRDefault="00B43B74" w14:paraId="7ABB67B0" w14:textId="3AFE6515">
            <w:pPr>
              <w:pStyle w:val="P68B1DB1-Listenabsatz7"/>
              <w:numPr>
                <w:ilvl w:val="0"/>
                <w:numId w:val="21"/>
              </w:numPr>
              <w:textAlignment w:val="baseline"/>
              <w:rPr>
                <w:rFonts w:ascii="Helvetica" w:hAnsi="Helvetica"/>
              </w:rPr>
            </w:pPr>
            <w:r>
              <w:t xml:space="preserve">Un </w:t>
            </w:r>
            <w:r w:rsidRPr="00282D81">
              <w:rPr>
                <w:rFonts w:ascii="Helvetica" w:hAnsi="Helvetica"/>
              </w:rPr>
              <w:t xml:space="preserve">enfoque de gestión renovado </w:t>
            </w:r>
          </w:p>
          <w:p w:rsidRPr="00282D81" w:rsidR="00282D81" w:rsidP="00282D81" w:rsidRDefault="00282D81" w14:paraId="14F7F827" w14:textId="6F51E35F">
            <w:pPr>
              <w:pStyle w:val="P68B1DB1-Listenabsatz6"/>
              <w:numPr>
                <w:ilvl w:val="1"/>
                <w:numId w:val="21"/>
              </w:numPr>
              <w:textAlignment w:val="baseline"/>
              <w:rPr>
                <w:rFonts w:ascii="Helvetica" w:hAnsi="Helvetica"/>
              </w:rPr>
            </w:pPr>
            <w:r w:rsidRPr="00282D81">
              <w:rPr>
                <w:rFonts w:ascii="Helvetica" w:hAnsi="Helvetica"/>
              </w:rPr>
              <w:t>Apoyo y patrocinio — Una cultura abierta y fluida para fomentar el intraemprendimiento</w:t>
            </w:r>
          </w:p>
          <w:p w:rsidRPr="00282D81" w:rsidR="00282D81" w:rsidP="00282D81" w:rsidRDefault="00282D81" w14:paraId="211DDAA7" w14:textId="77777777">
            <w:pPr>
              <w:pStyle w:val="P68B1DB1-Listenabsatz6"/>
              <w:numPr>
                <w:ilvl w:val="1"/>
                <w:numId w:val="21"/>
              </w:numPr>
              <w:textAlignment w:val="baseline"/>
              <w:rPr>
                <w:rFonts w:ascii="Helvetica" w:hAnsi="Helvetica"/>
              </w:rPr>
            </w:pPr>
            <w:r w:rsidRPr="00282D81">
              <w:rPr>
                <w:rFonts w:ascii="Helvetica" w:hAnsi="Helvetica"/>
              </w:rPr>
              <w:t>Autoconciencia y autoeficacia — Explorar los caminos a seguir</w:t>
            </w:r>
          </w:p>
          <w:p w:rsidRPr="00282D81" w:rsidR="00282D81" w:rsidP="00282D81" w:rsidRDefault="00282D81" w14:paraId="42A9BE7A" w14:textId="0DB98487">
            <w:pPr>
              <w:pStyle w:val="P68B1DB1-Listenabsatz6"/>
              <w:numPr>
                <w:ilvl w:val="1"/>
                <w:numId w:val="21"/>
              </w:numPr>
              <w:textAlignment w:val="baseline"/>
              <w:rPr>
                <w:rFonts w:ascii="Helvetica" w:hAnsi="Helvetica"/>
              </w:rPr>
            </w:pPr>
            <w:r w:rsidRPr="00282D81">
              <w:rPr>
                <w:rFonts w:ascii="Helvetica" w:hAnsi="Helvetica"/>
              </w:rPr>
              <w:t>Incentivos... Pero no de naturaleza financiera</w:t>
            </w:r>
          </w:p>
          <w:p w:rsidRPr="00282D81" w:rsidR="00282D81" w:rsidP="00282D81" w:rsidRDefault="00282D81" w14:paraId="04FD16EE" w14:textId="3DF0CCCF">
            <w:pPr>
              <w:pStyle w:val="P68B1DB1-Listenabsatz6"/>
              <w:numPr>
                <w:ilvl w:val="1"/>
                <w:numId w:val="21"/>
              </w:numPr>
              <w:textAlignment w:val="baseline"/>
              <w:rPr>
                <w:rFonts w:ascii="Helvetica" w:hAnsi="Helvetica"/>
              </w:rPr>
            </w:pPr>
            <w:r w:rsidRPr="00282D81">
              <w:rPr>
                <w:rFonts w:ascii="Helvetica" w:hAnsi="Helvetica"/>
              </w:rPr>
              <w:t xml:space="preserve">Recompensas... de carácter financiero </w:t>
            </w:r>
          </w:p>
          <w:p w:rsidRPr="00282D81" w:rsidR="00282D81" w:rsidP="00282D81" w:rsidRDefault="00282D81" w14:paraId="7C655C4F" w14:textId="3F7DD816">
            <w:pPr>
              <w:pStyle w:val="P68B1DB1-Listenabsatz6"/>
              <w:numPr>
                <w:ilvl w:val="1"/>
                <w:numId w:val="21"/>
              </w:numPr>
              <w:textAlignment w:val="baseline"/>
              <w:rPr>
                <w:rFonts w:ascii="Helvetica" w:hAnsi="Helvetica"/>
              </w:rPr>
            </w:pPr>
            <w:r w:rsidRPr="00282D81">
              <w:rPr>
                <w:rFonts w:ascii="Helvetica" w:hAnsi="Helvetica"/>
              </w:rPr>
              <w:t>Recursos — Capital de conocimiento, tiempo y márgenes de error</w:t>
            </w:r>
          </w:p>
          <w:p w:rsidRPr="00282D81" w:rsidR="00282D81" w:rsidP="00282D81" w:rsidRDefault="00282D81" w14:paraId="57933736" w14:textId="135BC828">
            <w:pPr>
              <w:pStyle w:val="P68B1DB1-Listenabsatz6"/>
              <w:numPr>
                <w:ilvl w:val="1"/>
                <w:numId w:val="21"/>
              </w:numPr>
              <w:textAlignment w:val="baseline"/>
              <w:rPr>
                <w:rFonts w:ascii="Helvetica" w:hAnsi="Helvetica"/>
              </w:rPr>
            </w:pPr>
            <w:r w:rsidRPr="00282D81">
              <w:rPr>
                <w:rFonts w:ascii="Helvetica" w:hAnsi="Helvetica"/>
              </w:rPr>
              <w:t>Comunicación... para asegurar de la calidad y la planificación estratégica</w:t>
            </w:r>
          </w:p>
          <w:p w:rsidR="003B439B" w:rsidP="00282D81" w:rsidRDefault="00282D81" w14:paraId="15746645" w14:textId="68A5D41B">
            <w:pPr>
              <w:pStyle w:val="P68B1DB1-Listenabsatz6"/>
              <w:numPr>
                <w:ilvl w:val="1"/>
                <w:numId w:val="21"/>
              </w:numPr>
              <w:textAlignment w:val="baseline"/>
            </w:pPr>
            <w:r w:rsidRPr="00282D81">
              <w:rPr>
                <w:rFonts w:ascii="Helvetica" w:hAnsi="Helvetica" w:cs="Times New Roman"/>
              </w:rPr>
              <w:t>Procesos — Descentralización y delegación</w:t>
            </w:r>
          </w:p>
        </w:tc>
      </w:tr>
      <w:tr w:rsidR="003B439B"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298951B0" w14:textId="77777777">
            <w:pPr>
              <w:pStyle w:val="P68B1DB1-Standard3"/>
            </w:pPr>
            <w:r>
              <w:t xml:space="preserve">Glosario </w:t>
            </w:r>
          </w:p>
          <w:p w:rsidR="003B439B" w:rsidRDefault="00B43B74" w14:paraId="41D370F8" w14:textId="7D5463E5">
            <w:pPr>
              <w:pStyle w:val="P68B1DB1-Standard3"/>
            </w:pPr>
            <w:r>
              <w:t>(5 términos)</w:t>
            </w:r>
          </w:p>
        </w:tc>
        <w:tc>
          <w:tcPr>
            <w:tcW w:w="7824" w:type="dxa"/>
            <w:shd w:val="clear" w:color="auto" w:fill="FFFFFF" w:themeFill="background1"/>
          </w:tcPr>
          <w:p w:rsidR="003B439B" w:rsidRDefault="00B43B74" w14:paraId="12C395DA" w14:textId="77777777">
            <w:pPr>
              <w:pStyle w:val="P68B1DB1-Standard8"/>
              <w:textAlignment w:val="baseline"/>
            </w:pPr>
            <w:r>
              <w:t>Inteligencia colectiva</w:t>
            </w:r>
          </w:p>
          <w:p w:rsidR="003B439B" w:rsidRDefault="00B43B74" w14:paraId="07BEF087" w14:textId="64056FA8">
            <w:pPr>
              <w:pStyle w:val="P68B1DB1-Standard4"/>
              <w:textAlignment w:val="baseline"/>
            </w:pPr>
            <w:r>
              <w:t>La inteligencia colectiva (IC) es inteligencia compartida o grupal (</w:t>
            </w:r>
            <w:r w:rsidR="00206FD5">
              <w:t>IG)</w:t>
            </w:r>
            <w:r>
              <w:t xml:space="preserve"> que surge de la colaboración, los esfuerzos colectivos y la competencia de muchos individuos y aparece en la toma de decisiones por consenso.</w:t>
            </w:r>
          </w:p>
          <w:p w:rsidR="003B439B" w:rsidRDefault="003B439B" w14:paraId="431E294F" w14:textId="77777777">
            <w:pPr>
              <w:textAlignment w:val="baseline"/>
              <w:rPr>
                <w:rFonts w:ascii="Helvetica neue" w:hAnsi="Helvetica neue" w:cstheme="minorHAnsi"/>
                <w:b/>
              </w:rPr>
            </w:pPr>
          </w:p>
          <w:p w:rsidR="003B439B" w:rsidRDefault="00B43B74" w14:paraId="52306DB8" w14:textId="77777777">
            <w:pPr>
              <w:pStyle w:val="P68B1DB1-Standard8"/>
              <w:textAlignment w:val="baseline"/>
            </w:pPr>
            <w:r>
              <w:t>Intraemprendimiento</w:t>
            </w:r>
          </w:p>
          <w:p w:rsidR="003B439B" w:rsidRDefault="00B43B74" w14:paraId="7723935D" w14:textId="1D2AACE1">
            <w:pPr>
              <w:pStyle w:val="P68B1DB1-Standard4"/>
              <w:textAlignment w:val="baseline"/>
            </w:pPr>
            <w:r>
              <w:t>Intraemprendimiento se refiere a las iniciativas de los empleados para emprender</w:t>
            </w:r>
            <w:r w:rsidR="00957EB5">
              <w:t xml:space="preserve"> sin que se les pida</w:t>
            </w:r>
            <w:r>
              <w:t xml:space="preserve"> </w:t>
            </w:r>
            <w:r w:rsidR="00957EB5">
              <w:t>dentro de las organizaciones.</w:t>
            </w:r>
          </w:p>
          <w:p w:rsidR="003B439B" w:rsidRDefault="003B439B" w14:paraId="2AD9448F" w14:textId="77777777">
            <w:pPr>
              <w:textAlignment w:val="baseline"/>
              <w:rPr>
                <w:rFonts w:ascii="Helvetica neue" w:hAnsi="Helvetica neue" w:cstheme="minorHAnsi"/>
                <w:b/>
              </w:rPr>
            </w:pPr>
          </w:p>
          <w:p w:rsidR="003B439B" w:rsidRDefault="00B43B74" w14:paraId="44D58CD0" w14:textId="77777777">
            <w:pPr>
              <w:pStyle w:val="P68B1DB1-Standard8"/>
              <w:textAlignment w:val="baseline"/>
            </w:pPr>
            <w:r>
              <w:t>Innovación</w:t>
            </w:r>
          </w:p>
          <w:p w:rsidR="003B439B" w:rsidRDefault="00B43B74" w14:paraId="6C27D978" w14:textId="7488F2BF">
            <w:pPr>
              <w:pStyle w:val="P68B1DB1-Standard4"/>
              <w:textAlignment w:val="baseline"/>
            </w:pPr>
            <w:r>
              <w:t xml:space="preserve">La introducción de algo nuevo; Innovación significa mejorar o reemplazar algo, por ejemplo, un proceso, un producto o un servicio. </w:t>
            </w:r>
          </w:p>
          <w:p w:rsidR="003B439B" w:rsidRDefault="003B439B" w14:paraId="4FCEC149" w14:textId="77777777">
            <w:pPr>
              <w:textAlignment w:val="baseline"/>
              <w:rPr>
                <w:rFonts w:ascii="Helvetica neue" w:hAnsi="Helvetica neue" w:cstheme="minorHAnsi"/>
                <w:b/>
              </w:rPr>
            </w:pPr>
          </w:p>
          <w:p w:rsidR="003B439B" w:rsidRDefault="00B43B74" w14:paraId="07023140" w14:textId="77777777">
            <w:pPr>
              <w:pStyle w:val="P68B1DB1-Standard8"/>
              <w:textAlignment w:val="baseline"/>
            </w:pPr>
            <w:r>
              <w:t>Microgestión</w:t>
            </w:r>
          </w:p>
          <w:p w:rsidR="003B439B" w:rsidRDefault="00B43B74" w14:paraId="49D9EE8D" w14:textId="67AA300C">
            <w:pPr>
              <w:pStyle w:val="P68B1DB1-Standard4"/>
              <w:textAlignment w:val="baseline"/>
            </w:pPr>
            <w:r>
              <w:t>La microgestión es un término negativo que se refiere a un estilo de gestión caracterizado por una supervisión y control extremadamente estrechos de los detalles menores de la carga de trabajo y la producción de un individuo.</w:t>
            </w:r>
          </w:p>
          <w:p w:rsidR="003B439B" w:rsidRDefault="003B439B" w14:paraId="48A179AE" w14:textId="77777777">
            <w:pPr>
              <w:textAlignment w:val="baseline"/>
              <w:rPr>
                <w:rFonts w:ascii="Helvetica neue" w:hAnsi="Helvetica neue" w:cstheme="minorHAnsi"/>
                <w:b/>
              </w:rPr>
            </w:pPr>
          </w:p>
          <w:p w:rsidR="003B439B" w:rsidRDefault="00B43B74" w14:paraId="30AC675C" w14:textId="77777777">
            <w:pPr>
              <w:pStyle w:val="P68B1DB1-Standard8"/>
              <w:textAlignment w:val="baseline"/>
            </w:pPr>
            <w:r>
              <w:t>Proactividad</w:t>
            </w:r>
          </w:p>
          <w:p w:rsidR="003B439B" w:rsidRDefault="00B43B74" w14:paraId="67A1AE46" w14:textId="7BDBAEF3">
            <w:pPr>
              <w:pStyle w:val="P68B1DB1-Standard4"/>
              <w:textAlignment w:val="baseline"/>
            </w:pPr>
            <w:r>
              <w:t>Actuar en previsión de problemas, necesidades o cambios futuros</w:t>
            </w:r>
          </w:p>
        </w:tc>
      </w:tr>
      <w:tr w:rsidR="003B439B"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7A2D9BD8" w14:textId="621B2AB5">
            <w:pPr>
              <w:pStyle w:val="P68B1DB1-Standard3"/>
            </w:pPr>
            <w:r>
              <w:lastRenderedPageBreak/>
              <w:t>Prueba de autoevaluación (5 preguntas de opción múltiple)</w:t>
            </w:r>
          </w:p>
        </w:tc>
        <w:tc>
          <w:tcPr>
            <w:tcW w:w="7824" w:type="dxa"/>
            <w:shd w:val="clear" w:color="auto" w:fill="FFFFFF" w:themeFill="background1"/>
          </w:tcPr>
          <w:p w:rsidR="003B439B" w:rsidRDefault="00B43B74" w14:paraId="44D067AC" w14:textId="022BD33B">
            <w:pPr>
              <w:pStyle w:val="P68B1DB1-Listenabsatz9"/>
              <w:numPr>
                <w:ilvl w:val="0"/>
                <w:numId w:val="23"/>
              </w:numPr>
              <w:textAlignment w:val="baseline"/>
            </w:pPr>
            <w:r>
              <w:t>En economía, los espíritus animales son:</w:t>
            </w:r>
          </w:p>
          <w:p w:rsidR="003B439B" w:rsidRDefault="00B43B74" w14:paraId="0A260C60" w14:textId="77777777">
            <w:pPr>
              <w:pStyle w:val="P68B1DB1-Listenabsatz10"/>
              <w:numPr>
                <w:ilvl w:val="1"/>
                <w:numId w:val="23"/>
              </w:numPr>
              <w:textAlignment w:val="baseline"/>
            </w:pPr>
            <w:r>
              <w:t>Tácticas de marketing depredadoras</w:t>
            </w:r>
          </w:p>
          <w:p w:rsidR="003B439B" w:rsidRDefault="00B43B74" w14:paraId="70B57F03" w14:textId="77777777">
            <w:pPr>
              <w:pStyle w:val="P68B1DB1-Listenabsatz10"/>
              <w:numPr>
                <w:ilvl w:val="1"/>
                <w:numId w:val="23"/>
              </w:numPr>
              <w:textAlignment w:val="baseline"/>
            </w:pPr>
            <w:r>
              <w:t>Banqueros de alto nivel</w:t>
            </w:r>
          </w:p>
          <w:p w:rsidR="003B439B" w:rsidRDefault="00B43B74" w14:paraId="7DD68282" w14:textId="77777777">
            <w:pPr>
              <w:pStyle w:val="P68B1DB1-Listenabsatz11"/>
              <w:numPr>
                <w:ilvl w:val="1"/>
                <w:numId w:val="23"/>
              </w:numPr>
              <w:textAlignment w:val="baseline"/>
            </w:pPr>
            <w:r>
              <w:t>Una explicación metafórica de la actitud emprendedora</w:t>
            </w:r>
          </w:p>
          <w:p w:rsidR="003B439B" w:rsidRDefault="003B439B" w14:paraId="2959AF23" w14:textId="77777777">
            <w:pPr>
              <w:pStyle w:val="Listenabsatz"/>
              <w:ind w:left="340"/>
              <w:textAlignment w:val="baseline"/>
              <w:rPr>
                <w:rFonts w:ascii="Helvetica neue" w:hAnsi="Helvetica neue" w:cs="Calibri"/>
                <w:b/>
              </w:rPr>
            </w:pPr>
          </w:p>
          <w:p w:rsidR="003B439B" w:rsidRDefault="00B43B74" w14:paraId="70A09992" w14:textId="07D391C9">
            <w:pPr>
              <w:pStyle w:val="P68B1DB1-Listenabsatz9"/>
              <w:numPr>
                <w:ilvl w:val="0"/>
                <w:numId w:val="23"/>
              </w:numPr>
              <w:textAlignment w:val="baseline"/>
            </w:pPr>
            <w:r>
              <w:t>En las organizaciones inspiradas en el intraemprendimiento, la comunicación es:</w:t>
            </w:r>
          </w:p>
          <w:p w:rsidR="003B439B" w:rsidRDefault="00B43B74" w14:paraId="5C30574B" w14:textId="77777777">
            <w:pPr>
              <w:pStyle w:val="P68B1DB1-Listenabsatz10"/>
              <w:numPr>
                <w:ilvl w:val="1"/>
                <w:numId w:val="23"/>
              </w:numPr>
              <w:textAlignment w:val="baseline"/>
            </w:pPr>
            <w:r>
              <w:t>Siempre de arriba hacia abajo</w:t>
            </w:r>
          </w:p>
          <w:p w:rsidR="003B439B" w:rsidRDefault="00B43B74" w14:paraId="4591CFC2" w14:textId="77777777">
            <w:pPr>
              <w:pStyle w:val="P68B1DB1-Listenabsatz10"/>
              <w:numPr>
                <w:ilvl w:val="1"/>
                <w:numId w:val="23"/>
              </w:numPr>
              <w:textAlignment w:val="baseline"/>
            </w:pPr>
            <w:r>
              <w:t>Siempre de abajo hacia arriba</w:t>
            </w:r>
          </w:p>
          <w:p w:rsidR="003B439B" w:rsidRDefault="00B43B74" w14:paraId="05DC1474" w14:textId="77777777">
            <w:pPr>
              <w:pStyle w:val="P68B1DB1-Listenabsatz11"/>
              <w:numPr>
                <w:ilvl w:val="1"/>
                <w:numId w:val="23"/>
              </w:numPr>
              <w:textAlignment w:val="baseline"/>
            </w:pPr>
            <w:r>
              <w:t>Ninguno de los anteriores</w:t>
            </w:r>
          </w:p>
          <w:p w:rsidR="003B439B" w:rsidRDefault="003B439B" w14:paraId="67096AD9" w14:textId="77777777">
            <w:pPr>
              <w:pStyle w:val="Listenabsatz"/>
              <w:ind w:left="340"/>
              <w:textAlignment w:val="baseline"/>
              <w:rPr>
                <w:rFonts w:ascii="Helvetica neue" w:hAnsi="Helvetica neue" w:cs="Calibri"/>
                <w:b/>
              </w:rPr>
            </w:pPr>
          </w:p>
          <w:p w:rsidR="003B439B" w:rsidRDefault="00B43B74" w14:paraId="6F54F653" w14:textId="7E644D88">
            <w:pPr>
              <w:pStyle w:val="P68B1DB1-Listenabsatz9"/>
              <w:numPr>
                <w:ilvl w:val="0"/>
                <w:numId w:val="23"/>
              </w:numPr>
              <w:textAlignment w:val="baseline"/>
            </w:pPr>
            <w:r>
              <w:t xml:space="preserve">La fórmula </w:t>
            </w:r>
            <w:r w:rsidRPr="00957EB5">
              <w:rPr>
                <w:u w:val="single"/>
              </w:rPr>
              <w:t>no mágica</w:t>
            </w:r>
            <w:r>
              <w:t xml:space="preserve"> implica un ciclo continuo de:</w:t>
            </w:r>
          </w:p>
          <w:p w:rsidR="003B439B" w:rsidRDefault="00B43B74" w14:paraId="297AB2C8" w14:textId="77777777">
            <w:pPr>
              <w:pStyle w:val="P68B1DB1-Listenabsatz10"/>
              <w:numPr>
                <w:ilvl w:val="1"/>
                <w:numId w:val="23"/>
              </w:numPr>
              <w:textAlignment w:val="baseline"/>
            </w:pPr>
            <w:r>
              <w:t>Motivación e inspiración</w:t>
            </w:r>
          </w:p>
          <w:p w:rsidR="003B439B" w:rsidRDefault="00B43B74" w14:paraId="63297A65" w14:textId="77777777">
            <w:pPr>
              <w:pStyle w:val="P68B1DB1-Listenabsatz11"/>
              <w:numPr>
                <w:ilvl w:val="1"/>
                <w:numId w:val="23"/>
              </w:numPr>
              <w:textAlignment w:val="baseline"/>
            </w:pPr>
            <w:r>
              <w:t>Planificación, implementación y revisión</w:t>
            </w:r>
          </w:p>
          <w:p w:rsidR="003B439B" w:rsidRDefault="00B43B74" w14:paraId="4949696E" w14:textId="76ED7C12">
            <w:pPr>
              <w:pStyle w:val="P68B1DB1-Listenabsatz10"/>
              <w:numPr>
                <w:ilvl w:val="1"/>
                <w:numId w:val="23"/>
              </w:numPr>
              <w:textAlignment w:val="baseline"/>
            </w:pPr>
            <w:r>
              <w:t>Evaluación de auditorías y control financiero</w:t>
            </w:r>
          </w:p>
          <w:p w:rsidR="003B439B" w:rsidRDefault="003B439B" w14:paraId="0FBDC078" w14:textId="77777777">
            <w:pPr>
              <w:pStyle w:val="Listenabsatz"/>
              <w:ind w:left="680"/>
              <w:textAlignment w:val="baseline"/>
              <w:rPr>
                <w:rFonts w:ascii="Helvetica neue" w:hAnsi="Helvetica neue" w:cs="Calibri"/>
                <w:b/>
              </w:rPr>
            </w:pPr>
          </w:p>
          <w:p w:rsidR="003B439B" w:rsidRDefault="00B43B74" w14:paraId="205E7AA7" w14:textId="70799EF3">
            <w:pPr>
              <w:pStyle w:val="P68B1DB1-Listenabsatz9"/>
              <w:numPr>
                <w:ilvl w:val="0"/>
                <w:numId w:val="23"/>
              </w:numPr>
              <w:textAlignment w:val="baseline"/>
            </w:pPr>
            <w:r>
              <w:t>Incentivos:</w:t>
            </w:r>
          </w:p>
          <w:p w:rsidR="003B439B" w:rsidRDefault="00B43B74" w14:paraId="63941C67" w14:textId="77777777">
            <w:pPr>
              <w:pStyle w:val="P68B1DB1-Listenabsatz10"/>
              <w:numPr>
                <w:ilvl w:val="1"/>
                <w:numId w:val="23"/>
              </w:numPr>
              <w:textAlignment w:val="baseline"/>
            </w:pPr>
            <w:r>
              <w:t>Solo son de naturaleza financiera</w:t>
            </w:r>
          </w:p>
          <w:p w:rsidR="003B439B" w:rsidRDefault="00B43B74" w14:paraId="44127D0D" w14:textId="77777777">
            <w:pPr>
              <w:pStyle w:val="P68B1DB1-Listenabsatz10"/>
              <w:numPr>
                <w:ilvl w:val="1"/>
                <w:numId w:val="23"/>
              </w:numPr>
              <w:textAlignment w:val="baseline"/>
            </w:pPr>
            <w:r>
              <w:t>Se reservan únicamente al nivel superior de la dirección</w:t>
            </w:r>
          </w:p>
          <w:p w:rsidR="003B439B" w:rsidRDefault="00B43B74" w14:paraId="14542934" w14:textId="77777777">
            <w:pPr>
              <w:pStyle w:val="P68B1DB1-Listenabsatz11"/>
              <w:numPr>
                <w:ilvl w:val="1"/>
                <w:numId w:val="23"/>
              </w:numPr>
              <w:textAlignment w:val="baseline"/>
            </w:pPr>
            <w:r>
              <w:t>Ninguno de los anteriores</w:t>
            </w:r>
          </w:p>
          <w:p w:rsidR="003B439B" w:rsidRDefault="003B439B" w14:paraId="7BBD5C52" w14:textId="77777777">
            <w:pPr>
              <w:pStyle w:val="Listenabsatz"/>
              <w:ind w:left="340"/>
              <w:textAlignment w:val="baseline"/>
              <w:rPr>
                <w:rFonts w:ascii="Helvetica neue" w:hAnsi="Helvetica neue" w:cs="Calibri"/>
                <w:b/>
              </w:rPr>
            </w:pPr>
          </w:p>
          <w:p w:rsidR="003B439B" w:rsidRDefault="00B43B74" w14:paraId="2A8BAAFB" w14:textId="6685AFDF">
            <w:pPr>
              <w:pStyle w:val="P68B1DB1-Listenabsatz9"/>
              <w:numPr>
                <w:ilvl w:val="0"/>
                <w:numId w:val="23"/>
              </w:numPr>
              <w:textAlignment w:val="baseline"/>
            </w:pPr>
            <w:r>
              <w:t>El capital del conocimiento es:</w:t>
            </w:r>
          </w:p>
          <w:p w:rsidR="003B439B" w:rsidRDefault="00B43B74" w14:paraId="4B2B15F5" w14:textId="77777777">
            <w:pPr>
              <w:pStyle w:val="P68B1DB1-Listenabsatz11"/>
              <w:numPr>
                <w:ilvl w:val="1"/>
                <w:numId w:val="23"/>
              </w:numPr>
              <w:textAlignment w:val="baseline"/>
            </w:pPr>
            <w:r>
              <w:t>...necesidad de los aspirantes intraemprendedores para poner las cosas en movimiento</w:t>
            </w:r>
          </w:p>
          <w:p w:rsidR="003B439B" w:rsidRDefault="00B43B74" w14:paraId="4EF62960" w14:textId="77777777">
            <w:pPr>
              <w:pStyle w:val="P68B1DB1-Listenabsatz10"/>
              <w:numPr>
                <w:ilvl w:val="1"/>
                <w:numId w:val="23"/>
              </w:numPr>
              <w:textAlignment w:val="baseline"/>
            </w:pPr>
            <w:r>
              <w:t xml:space="preserve">Disponible solo para I+D </w:t>
            </w:r>
          </w:p>
          <w:p w:rsidR="003B439B" w:rsidRDefault="00B43B74" w14:paraId="42C09B04" w14:textId="7CAF3E67">
            <w:pPr>
              <w:pStyle w:val="P68B1DB1-Listenabsatz10"/>
              <w:numPr>
                <w:ilvl w:val="1"/>
                <w:numId w:val="23"/>
              </w:numPr>
              <w:textAlignment w:val="baseline"/>
            </w:pPr>
            <w:r>
              <w:t>Protegido por los DPI</w:t>
            </w:r>
          </w:p>
        </w:tc>
      </w:tr>
      <w:tr w:rsidR="003B439B"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251D7999" w14:textId="77777777">
            <w:pPr>
              <w:pStyle w:val="P68B1DB1-Standard3"/>
            </w:pPr>
            <w:r>
              <w:t>PPT relacionado</w:t>
            </w:r>
          </w:p>
        </w:tc>
        <w:tc>
          <w:tcPr>
            <w:tcW w:w="7824" w:type="dxa"/>
            <w:shd w:val="clear" w:color="auto" w:fill="FFFFFF" w:themeFill="background1"/>
          </w:tcPr>
          <w:p w:rsidR="003B439B" w:rsidRDefault="00B43B74" w14:paraId="76CEAB2F" w14:textId="7303F390">
            <w:pPr>
              <w:pStyle w:val="P68B1DB1-Standard5"/>
              <w:rPr>
                <w:color w:val="244061" w:themeColor="accent1" w:themeShade="80"/>
              </w:rPr>
            </w:pPr>
            <w:r>
              <w:t>GENIE_PPT_</w:t>
            </w:r>
            <w:r w:rsidR="005C6D5C">
              <w:t xml:space="preserve"> </w:t>
            </w:r>
            <w:r w:rsidRPr="005C6D5C" w:rsidR="005C6D5C">
              <w:t>Making things happen 1</w:t>
            </w:r>
            <w:r w:rsidR="005C6D5C">
              <w:t>_ES.pptx</w:t>
            </w:r>
          </w:p>
        </w:tc>
      </w:tr>
      <w:tr w:rsidR="003B439B"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3B439B" w:rsidRDefault="00B43B74" w14:paraId="5C9316D1" w14:textId="77777777">
            <w:pPr>
              <w:pStyle w:val="P68B1DB1-Standard3"/>
            </w:pPr>
            <w:r>
              <w:t>Bibliografía </w:t>
            </w:r>
          </w:p>
        </w:tc>
        <w:tc>
          <w:tcPr>
            <w:tcW w:w="7824" w:type="dxa"/>
            <w:shd w:val="clear" w:color="auto" w:fill="FFFFFF" w:themeFill="background1"/>
          </w:tcPr>
          <w:p w:rsidRPr="005C6D5C" w:rsidR="005C6D5C" w:rsidP="005C6D5C" w:rsidRDefault="005C6D5C" w14:paraId="664E8934" w14:textId="2E5FB593">
            <w:pPr>
              <w:pStyle w:val="Listenabsatz"/>
              <w:numPr>
                <w:ilvl w:val="0"/>
                <w:numId w:val="25"/>
              </w:numPr>
              <w:spacing w:after="120"/>
              <w:rPr>
                <w:rFonts w:ascii="Helvetica neue" w:hAnsi="Helvetica neue" w:cstheme="minorHAnsi"/>
              </w:rPr>
            </w:pPr>
            <w:r w:rsidRPr="005C6D5C">
              <w:rPr>
                <w:rFonts w:ascii="Helvetica neue" w:hAnsi="Helvetica neue" w:cstheme="minorHAnsi"/>
              </w:rPr>
              <w:t xml:space="preserve">Goldberg, W. H. (1986). Book Reviews: Gifford Pinchot III: Intrapreneuring: Why You Don’t Have to Leave the Corporation to Become an Entrepreneur 1985, New York: Harper and Row. 368 pages. Organization Studies, 7(4), 398–399. </w:t>
            </w:r>
            <w:hyperlink w:history="1" r:id="rId7">
              <w:r w:rsidRPr="005C6D5C">
                <w:rPr>
                  <w:rStyle w:val="Hyperlink"/>
                  <w:rFonts w:ascii="Helvetica neue" w:hAnsi="Helvetica neue" w:cstheme="minorHAnsi"/>
                </w:rPr>
                <w:t>https://doi.org/10.1177/017084068600700408</w:t>
              </w:r>
            </w:hyperlink>
          </w:p>
          <w:p w:rsidR="005C6D5C" w:rsidP="005C6D5C" w:rsidRDefault="005C6D5C" w14:paraId="0CEE0267" w14:textId="6DF27D82">
            <w:pPr>
              <w:pStyle w:val="Listenabsatz"/>
              <w:numPr>
                <w:ilvl w:val="0"/>
                <w:numId w:val="25"/>
              </w:numPr>
              <w:spacing w:after="120"/>
              <w:rPr>
                <w:rFonts w:ascii="Helvetica neue" w:hAnsi="Helvetica neue" w:cstheme="minorHAnsi"/>
                <w:color w:val="244061" w:themeColor="accent1" w:themeShade="80"/>
              </w:rPr>
            </w:pPr>
            <w:r w:rsidRPr="00D1254D">
              <w:rPr>
                <w:rFonts w:ascii="Helvetica neue" w:hAnsi="Helvetica neue" w:cstheme="minorHAnsi"/>
              </w:rPr>
              <w:t xml:space="preserve">Five Insights into Intrapreneurship. A guide to Accelerating Innovation within Corporations. Deloitte Digital. URL: </w:t>
            </w:r>
            <w:hyperlink w:history="1" r:id="rId8">
              <w:r w:rsidRPr="00D72BD6">
                <w:rPr>
                  <w:rStyle w:val="Hyperlink"/>
                  <w:rFonts w:ascii="Helvetica neue" w:hAnsi="Helvetica neue" w:cstheme="minorHAnsi"/>
                </w:rPr>
                <w:t>https://www2.deloitte.com/content/dam/Deloitte/de/Documents/technology/Intrapreneurship_Whitepaper_English.pdf</w:t>
              </w:r>
            </w:hyperlink>
          </w:p>
        </w:tc>
      </w:tr>
      <w:tr w:rsidRPr="005175F0" w:rsidR="003B439B"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3B439B" w:rsidRDefault="00B43B74" w14:paraId="7D967151" w14:textId="77777777">
            <w:pPr>
              <w:pStyle w:val="P68B1DB1-Standard3"/>
            </w:pPr>
            <w:r>
              <w:t>Proporcionado por </w:t>
            </w:r>
          </w:p>
        </w:tc>
        <w:tc>
          <w:tcPr>
            <w:tcW w:w="7824" w:type="dxa"/>
            <w:shd w:val="clear" w:color="auto" w:fill="FFFFFF" w:themeFill="background1"/>
          </w:tcPr>
          <w:p w:rsidRPr="005175F0" w:rsidR="003B439B" w:rsidRDefault="00B43B74" w14:paraId="0F8631C1" w14:textId="72799576">
            <w:pPr>
              <w:pStyle w:val="P68B1DB1-Standard4"/>
              <w:rPr>
                <w:color w:val="244061" w:themeColor="accent1" w:themeShade="80"/>
                <w:lang w:val="en-GB"/>
              </w:rPr>
            </w:pPr>
            <w:r w:rsidRPr="005175F0">
              <w:rPr>
                <w:lang w:val="en-GB"/>
              </w:rPr>
              <w:t>IDP European Consultants &amp; IHF Asbl</w:t>
            </w:r>
          </w:p>
        </w:tc>
      </w:tr>
    </w:tbl>
    <w:p w:rsidRPr="005175F0" w:rsidR="003B439B" w:rsidRDefault="003B439B" w14:paraId="7B5C8C62" w14:textId="77777777">
      <w:pPr>
        <w:rPr>
          <w:rFonts w:ascii="Helvetica neue" w:hAnsi="Helvetica neue" w:eastAsia="Calibri"/>
          <w:lang w:val="en-GB"/>
        </w:rPr>
      </w:pPr>
    </w:p>
    <w:p w:rsidRPr="005175F0" w:rsidR="003B439B" w:rsidRDefault="003B439B" w14:paraId="147C05D8" w14:textId="77777777">
      <w:pPr>
        <w:pStyle w:val="Textkrper"/>
        <w:rPr>
          <w:rFonts w:ascii="Helvetica neue" w:hAnsi="Helvetica neue"/>
          <w:lang w:val="en-GB"/>
        </w:rPr>
      </w:pPr>
    </w:p>
    <w:p w:rsidRPr="005175F0" w:rsidR="003B439B" w:rsidRDefault="003B439B" w14:paraId="74F8FDB1" w14:textId="77777777">
      <w:pPr>
        <w:pStyle w:val="Textkrper"/>
        <w:rPr>
          <w:rFonts w:ascii="Helvetica neue" w:hAnsi="Helvetica neue"/>
          <w:lang w:val="en-GB"/>
        </w:rPr>
      </w:pPr>
    </w:p>
    <w:p w:rsidRPr="005175F0" w:rsidR="003B439B" w:rsidRDefault="003B439B" w14:paraId="1D7A6CEB" w14:textId="77777777">
      <w:pPr>
        <w:pStyle w:val="Textkrper"/>
        <w:rPr>
          <w:rFonts w:ascii="Helvetica neue" w:hAnsi="Helvetica neue"/>
          <w:lang w:val="en-GB"/>
        </w:rPr>
      </w:pPr>
    </w:p>
    <w:sectPr w:rsidRPr="005175F0" w:rsidR="003B439B">
      <w:headerReference w:type="default" r:id="rId9"/>
      <w:footerReference w:type="default" r:id="rId10"/>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F12" w:rsidRDefault="00741F12" w14:paraId="2CEEBB0C" w14:textId="77777777">
      <w:r>
        <w:separator/>
      </w:r>
    </w:p>
  </w:endnote>
  <w:endnote w:type="continuationSeparator" w:id="0">
    <w:p w:rsidR="00741F12" w:rsidRDefault="00741F12" w14:paraId="23D62D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3B439B" w:rsidRDefault="00B43B74"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0F6A3F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3B439B" w:rsidTr="56C54FBF" w14:paraId="67534BAE" w14:textId="77777777">
      <w:tc>
        <w:tcPr>
          <w:tcW w:w="3180" w:type="dxa"/>
          <w:tcMar/>
        </w:tcPr>
        <w:p w:rsidR="003B439B" w:rsidRDefault="00B43B74" w14:paraId="223DE6AB" w14:textId="49516347">
          <w:pPr>
            <w:pStyle w:val="P68B1DB1-Fuzeile13"/>
          </w:pPr>
          <w:r w:rsidR="56C54FBF">
            <w:drawing>
              <wp:inline wp14:editId="6BB6D232" wp14:anchorId="689725B7">
                <wp:extent cx="1885950" cy="400050"/>
                <wp:effectExtent l="0" t="0" r="0" b="0"/>
                <wp:docPr id="601405862" name="" title=""/>
                <wp:cNvGraphicFramePr>
                  <a:graphicFrameLocks noChangeAspect="1"/>
                </wp:cNvGraphicFramePr>
                <a:graphic>
                  <a:graphicData uri="http://schemas.openxmlformats.org/drawingml/2006/picture">
                    <pic:pic>
                      <pic:nvPicPr>
                        <pic:cNvPr id="0" name=""/>
                        <pic:cNvPicPr/>
                      </pic:nvPicPr>
                      <pic:blipFill>
                        <a:blip r:embed="R8fe6f036ce5243a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3B439B" w:rsidP="56C54FBF" w:rsidRDefault="003B439B" w14:paraId="056A3FFF" w14:textId="0891B847">
          <w:pPr>
            <w:pStyle w:val="Fuzeile"/>
            <w:widowControl w:val="0"/>
            <w:tabs>
              <w:tab w:val="center" w:leader="none" w:pos="4252"/>
              <w:tab w:val="right" w:leader="none" w:pos="8504"/>
            </w:tabs>
            <w:rPr>
              <w:sz w:val="16"/>
              <w:szCs w:val="16"/>
            </w:rPr>
          </w:pPr>
          <w:r w:rsidRPr="56C54FBF" w:rsidR="56C54FBF">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3B439B" w:rsidRDefault="00B43B74" w14:paraId="59FA0309" w14:textId="59DBBE5C">
          <w:pPr>
            <w:pStyle w:val="P68B1DB1-Fuzeile13"/>
          </w:pPr>
          <w:r w:rsidR="56C54FBF">
            <w:drawing>
              <wp:inline wp14:editId="169BDE3D" wp14:anchorId="516F7498">
                <wp:extent cx="1009650" cy="352425"/>
                <wp:effectExtent l="0" t="0" r="0" b="0"/>
                <wp:docPr id="1370217900" name="" title=""/>
                <wp:cNvGraphicFramePr>
                  <a:graphicFrameLocks noChangeAspect="1"/>
                </wp:cNvGraphicFramePr>
                <a:graphic>
                  <a:graphicData uri="http://schemas.openxmlformats.org/drawingml/2006/picture">
                    <pic:pic>
                      <pic:nvPicPr>
                        <pic:cNvPr id="0" name=""/>
                        <pic:cNvPicPr/>
                      </pic:nvPicPr>
                      <pic:blipFill>
                        <a:blip r:embed="Rabc043315bd64013">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3B439B" w:rsidRDefault="003B439B"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F12" w:rsidRDefault="00741F12" w14:paraId="366B61EE" w14:textId="77777777">
      <w:r>
        <w:separator/>
      </w:r>
    </w:p>
  </w:footnote>
  <w:footnote w:type="continuationSeparator" w:id="0">
    <w:p w:rsidR="00741F12" w:rsidRDefault="00741F12" w14:paraId="0BBE80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439B" w:rsidRDefault="00B43B74"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27DCEBE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3B439B" w:rsidRDefault="00B43B74"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1DEAF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79B71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3B439B" w:rsidRDefault="003B439B" w14:paraId="219D9999" w14:textId="50E16F0E">
    <w:pPr>
      <w:pStyle w:val="Textkrper"/>
      <w:tabs>
        <w:tab w:val="left" w:pos="426"/>
        <w:tab w:val="left" w:pos="11199"/>
      </w:tabs>
    </w:pPr>
  </w:p>
  <w:p w:rsidR="003B439B" w:rsidRDefault="003B439B" w14:paraId="48E6A0BB" w14:textId="77777777">
    <w:pPr>
      <w:pStyle w:val="Textkrper"/>
      <w:jc w:val="center"/>
      <w:rPr>
        <w:rFonts w:ascii="Calibri Light" w:hAnsi="Calibri Light" w:cs="Calibri Light"/>
        <w:sz w:val="12"/>
      </w:rPr>
    </w:pPr>
  </w:p>
  <w:p w:rsidR="003B439B" w:rsidRDefault="003B439B" w14:paraId="4972850E" w14:textId="77777777">
    <w:pPr>
      <w:pStyle w:val="Textkrper"/>
      <w:jc w:val="center"/>
      <w:rPr>
        <w:rFonts w:ascii="Calibri Light" w:hAnsi="Calibri Light" w:cs="Calibri Light"/>
        <w:sz w:val="12"/>
      </w:rPr>
    </w:pPr>
  </w:p>
  <w:p w:rsidR="003B439B" w:rsidRDefault="003B439B" w14:paraId="1E061BA8" w14:textId="77777777">
    <w:pPr>
      <w:pStyle w:val="Textkrper"/>
      <w:jc w:val="center"/>
      <w:rPr>
        <w:rFonts w:ascii="Calibri Light" w:hAnsi="Calibri Light" w:cs="Calibri Light"/>
        <w:sz w:val="12"/>
      </w:rPr>
    </w:pPr>
  </w:p>
  <w:p w:rsidR="003B439B" w:rsidRDefault="003B439B" w14:paraId="54917538" w14:textId="77777777">
    <w:pPr>
      <w:pStyle w:val="Textkrper"/>
      <w:jc w:val="center"/>
      <w:rPr>
        <w:rFonts w:ascii="Calibri Light" w:hAnsi="Calibri Light" w:cs="Calibri Light"/>
        <w:sz w:val="12"/>
      </w:rPr>
    </w:pPr>
  </w:p>
  <w:p w:rsidR="003B439B" w:rsidRDefault="003B439B" w14:paraId="1A025CEA" w14:textId="77777777">
    <w:pPr>
      <w:pStyle w:val="Textkrper"/>
      <w:jc w:val="center"/>
      <w:rPr>
        <w:rFonts w:ascii="Calibri Light" w:hAnsi="Calibri Light" w:cs="Calibri Light"/>
        <w:sz w:val="14"/>
      </w:rPr>
    </w:pPr>
  </w:p>
  <w:p w:rsidR="003B439B" w:rsidRDefault="00B43B74" w14:paraId="3790892B" w14:textId="6E99D4C6">
    <w:pPr>
      <w:pStyle w:val="P68B1DB1-Textkrper12"/>
      <w:jc w:val="center"/>
    </w:pPr>
    <w:r>
      <w:t>Genieproject.eu</w:t>
    </w:r>
  </w:p>
  <w:p w:rsidR="003B439B" w:rsidRDefault="003B439B"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FAE464C"/>
    <w:multiLevelType w:val="hybridMultilevel"/>
    <w:tmpl w:val="4A90C37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9568F"/>
    <w:multiLevelType w:val="hybridMultilevel"/>
    <w:tmpl w:val="E78CA01A"/>
    <w:lvl w:ilvl="0" w:tplc="7EF27B34">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475489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964501">
    <w:abstractNumId w:val="23"/>
  </w:num>
  <w:num w:numId="3" w16cid:durableId="180172159">
    <w:abstractNumId w:val="7"/>
  </w:num>
  <w:num w:numId="4" w16cid:durableId="278489528">
    <w:abstractNumId w:val="13"/>
  </w:num>
  <w:num w:numId="5" w16cid:durableId="1846820290">
    <w:abstractNumId w:val="5"/>
  </w:num>
  <w:num w:numId="6" w16cid:durableId="1554459404">
    <w:abstractNumId w:val="21"/>
  </w:num>
  <w:num w:numId="7" w16cid:durableId="1365863560">
    <w:abstractNumId w:val="12"/>
  </w:num>
  <w:num w:numId="8" w16cid:durableId="901136264">
    <w:abstractNumId w:val="11"/>
  </w:num>
  <w:num w:numId="9" w16cid:durableId="841504322">
    <w:abstractNumId w:val="15"/>
  </w:num>
  <w:num w:numId="10" w16cid:durableId="445659820">
    <w:abstractNumId w:val="10"/>
  </w:num>
  <w:num w:numId="11" w16cid:durableId="1031879678">
    <w:abstractNumId w:val="4"/>
  </w:num>
  <w:num w:numId="12" w16cid:durableId="1732196534">
    <w:abstractNumId w:val="6"/>
  </w:num>
  <w:num w:numId="13" w16cid:durableId="83651466">
    <w:abstractNumId w:val="19"/>
  </w:num>
  <w:num w:numId="14" w16cid:durableId="153180877">
    <w:abstractNumId w:val="24"/>
  </w:num>
  <w:num w:numId="15" w16cid:durableId="920525984">
    <w:abstractNumId w:val="14"/>
  </w:num>
  <w:num w:numId="16" w16cid:durableId="487794464">
    <w:abstractNumId w:val="0"/>
  </w:num>
  <w:num w:numId="17" w16cid:durableId="1283267834">
    <w:abstractNumId w:val="20"/>
  </w:num>
  <w:num w:numId="18" w16cid:durableId="900753265">
    <w:abstractNumId w:val="26"/>
  </w:num>
  <w:num w:numId="19" w16cid:durableId="198933278">
    <w:abstractNumId w:val="1"/>
  </w:num>
  <w:num w:numId="20" w16cid:durableId="1960717737">
    <w:abstractNumId w:val="17"/>
  </w:num>
  <w:num w:numId="21" w16cid:durableId="794828720">
    <w:abstractNumId w:val="18"/>
  </w:num>
  <w:num w:numId="22" w16cid:durableId="551119758">
    <w:abstractNumId w:val="3"/>
  </w:num>
  <w:num w:numId="23" w16cid:durableId="1945460355">
    <w:abstractNumId w:val="16"/>
  </w:num>
  <w:num w:numId="24" w16cid:durableId="1813983961">
    <w:abstractNumId w:val="9"/>
  </w:num>
  <w:num w:numId="25" w16cid:durableId="1908373233">
    <w:abstractNumId w:val="2"/>
  </w:num>
  <w:num w:numId="26" w16cid:durableId="918830549">
    <w:abstractNumId w:val="22"/>
  </w:num>
  <w:num w:numId="27" w16cid:durableId="9503596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C7748"/>
    <w:rsid w:val="000E59D7"/>
    <w:rsid w:val="000F6C3F"/>
    <w:rsid w:val="00132DD8"/>
    <w:rsid w:val="00162C30"/>
    <w:rsid w:val="00190BAA"/>
    <w:rsid w:val="001C0B43"/>
    <w:rsid w:val="001D1444"/>
    <w:rsid w:val="00206FD5"/>
    <w:rsid w:val="00233984"/>
    <w:rsid w:val="002423FF"/>
    <w:rsid w:val="00250F8E"/>
    <w:rsid w:val="00274B14"/>
    <w:rsid w:val="00276525"/>
    <w:rsid w:val="00282D81"/>
    <w:rsid w:val="00285C63"/>
    <w:rsid w:val="002D275E"/>
    <w:rsid w:val="0033180E"/>
    <w:rsid w:val="003441DD"/>
    <w:rsid w:val="00367762"/>
    <w:rsid w:val="0037488C"/>
    <w:rsid w:val="00380E2A"/>
    <w:rsid w:val="003B439B"/>
    <w:rsid w:val="003C16FF"/>
    <w:rsid w:val="003D13EC"/>
    <w:rsid w:val="00403D96"/>
    <w:rsid w:val="00467D9D"/>
    <w:rsid w:val="004B10DB"/>
    <w:rsid w:val="004C4FAF"/>
    <w:rsid w:val="004E03FB"/>
    <w:rsid w:val="004E3BBD"/>
    <w:rsid w:val="004F3F08"/>
    <w:rsid w:val="005175F0"/>
    <w:rsid w:val="005248A4"/>
    <w:rsid w:val="00536144"/>
    <w:rsid w:val="0055064D"/>
    <w:rsid w:val="005C6D5C"/>
    <w:rsid w:val="00612469"/>
    <w:rsid w:val="00617ADA"/>
    <w:rsid w:val="00624146"/>
    <w:rsid w:val="006279B0"/>
    <w:rsid w:val="0066250A"/>
    <w:rsid w:val="006B4332"/>
    <w:rsid w:val="006C06AD"/>
    <w:rsid w:val="007117B3"/>
    <w:rsid w:val="00741F12"/>
    <w:rsid w:val="007E413D"/>
    <w:rsid w:val="007E6542"/>
    <w:rsid w:val="008276F3"/>
    <w:rsid w:val="0085205A"/>
    <w:rsid w:val="00853A2D"/>
    <w:rsid w:val="00857167"/>
    <w:rsid w:val="00884B7D"/>
    <w:rsid w:val="008E08F1"/>
    <w:rsid w:val="009248D3"/>
    <w:rsid w:val="00957EB5"/>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43B74"/>
    <w:rsid w:val="00B61BC4"/>
    <w:rsid w:val="00B77D0D"/>
    <w:rsid w:val="00B82763"/>
    <w:rsid w:val="00BA5E80"/>
    <w:rsid w:val="00BA6F71"/>
    <w:rsid w:val="00BF531A"/>
    <w:rsid w:val="00C05783"/>
    <w:rsid w:val="00C07B0F"/>
    <w:rsid w:val="00C35E6B"/>
    <w:rsid w:val="00C47362"/>
    <w:rsid w:val="00C835F5"/>
    <w:rsid w:val="00C8382D"/>
    <w:rsid w:val="00C97ACD"/>
    <w:rsid w:val="00CE2DE6"/>
    <w:rsid w:val="00D1254D"/>
    <w:rsid w:val="00D629E0"/>
    <w:rsid w:val="00D70A82"/>
    <w:rsid w:val="00D91A91"/>
    <w:rsid w:val="00D9641D"/>
    <w:rsid w:val="00DB6D85"/>
    <w:rsid w:val="00E01E50"/>
    <w:rsid w:val="00E0760A"/>
    <w:rsid w:val="00E53DD1"/>
    <w:rsid w:val="00E66F38"/>
    <w:rsid w:val="00E820E9"/>
    <w:rsid w:val="00E87C3B"/>
    <w:rsid w:val="00E92B44"/>
    <w:rsid w:val="00E9552B"/>
    <w:rsid w:val="00EB1C88"/>
    <w:rsid w:val="00EB76C6"/>
    <w:rsid w:val="00EE173C"/>
    <w:rsid w:val="00EE796A"/>
    <w:rsid w:val="00EF4FFE"/>
    <w:rsid w:val="00F1250A"/>
    <w:rsid w:val="00F15809"/>
    <w:rsid w:val="00F6298B"/>
    <w:rsid w:val="00F74502"/>
    <w:rsid w:val="00F85D2D"/>
    <w:rsid w:val="00F93275"/>
    <w:rsid w:val="00F94C13"/>
    <w:rsid w:val="00FA7D90"/>
    <w:rsid w:val="00FD1657"/>
    <w:rsid w:val="00FE6704"/>
    <w:rsid w:val="00FF7BD6"/>
    <w:rsid w:val="1171D700"/>
    <w:rsid w:val="3B778E02"/>
    <w:rsid w:val="56C54FBF"/>
    <w:rsid w:val="5E011830"/>
    <w:rsid w:val="6138B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D1254D"/>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Listenabsatz7" w:customStyle="1">
    <w:name w:val="P68B1DB1-Listenabsatz7"/>
    <w:basedOn w:val="Listenabsatz"/>
    <w:rPr>
      <w:rFonts w:ascii="Helvetica neue" w:hAnsi="Helvetica neue" w:cstheme="minorHAnsi"/>
      <w:b/>
    </w:rPr>
  </w:style>
  <w:style w:type="paragraph" w:styleId="P68B1DB1-Standard8" w:customStyle="1">
    <w:name w:val="P68B1DB1-Standard8"/>
    <w:basedOn w:val="Standard"/>
    <w:rPr>
      <w:rFonts w:ascii="Helvetica neue" w:hAnsi="Helvetica neue" w:cstheme="minorHAnsi"/>
      <w:b/>
    </w:rPr>
  </w:style>
  <w:style w:type="paragraph" w:styleId="P68B1DB1-Listenabsatz9" w:customStyle="1">
    <w:name w:val="P68B1DB1-Listenabsatz9"/>
    <w:basedOn w:val="Listenabsatz"/>
    <w:rPr>
      <w:rFonts w:ascii="Helvetica neue" w:hAnsi="Helvetica neue" w:cs="Calibri"/>
      <w:b/>
    </w:rPr>
  </w:style>
  <w:style w:type="paragraph" w:styleId="P68B1DB1-Listenabsatz10" w:customStyle="1">
    <w:name w:val="P68B1DB1-Listenabsatz10"/>
    <w:basedOn w:val="Listenabsatz"/>
    <w:rPr>
      <w:rFonts w:ascii="Helvetica neue" w:hAnsi="Helvetica neue" w:cs="Calibri"/>
    </w:rPr>
  </w:style>
  <w:style w:type="paragraph" w:styleId="P68B1DB1-Listenabsatz11" w:customStyle="1">
    <w:name w:val="P68B1DB1-Listenabsatz11"/>
    <w:basedOn w:val="Listenabsatz"/>
    <w:rPr>
      <w:rFonts w:ascii="Helvetica neue" w:hAnsi="Helvetica neue" w:cs="Calibri"/>
      <w:b/>
      <w:color w:val="AED633"/>
    </w:rPr>
  </w:style>
  <w:style w:type="paragraph" w:styleId="P68B1DB1-Textkrper12" w:customStyle="1">
    <w:name w:val="P68B1DB1-Textkrper12"/>
    <w:basedOn w:val="Textkrper"/>
    <w:rPr>
      <w:rFonts w:ascii="Calibri Light" w:hAnsi="Calibri Light" w:cs="Calibri Light"/>
      <w:sz w:val="14"/>
    </w:rPr>
  </w:style>
  <w:style w:type="paragraph" w:styleId="P68B1DB1-Fuzeile13" w:customStyle="1">
    <w:name w:val="P68B1DB1-Fuzeile13"/>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3360">
      <w:bodyDiv w:val="1"/>
      <w:marLeft w:val="0"/>
      <w:marRight w:val="0"/>
      <w:marTop w:val="0"/>
      <w:marBottom w:val="0"/>
      <w:divBdr>
        <w:top w:val="none" w:sz="0" w:space="0" w:color="auto"/>
        <w:left w:val="none" w:sz="0" w:space="0" w:color="auto"/>
        <w:bottom w:val="none" w:sz="0" w:space="0" w:color="auto"/>
        <w:right w:val="none" w:sz="0" w:space="0" w:color="auto"/>
      </w:divBdr>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578440991">
      <w:bodyDiv w:val="1"/>
      <w:marLeft w:val="0"/>
      <w:marRight w:val="0"/>
      <w:marTop w:val="0"/>
      <w:marBottom w:val="0"/>
      <w:divBdr>
        <w:top w:val="none" w:sz="0" w:space="0" w:color="auto"/>
        <w:left w:val="none" w:sz="0" w:space="0" w:color="auto"/>
        <w:bottom w:val="none" w:sz="0" w:space="0" w:color="auto"/>
        <w:right w:val="none" w:sz="0" w:space="0" w:color="auto"/>
      </w:divBdr>
    </w:div>
    <w:div w:id="583806293">
      <w:bodyDiv w:val="1"/>
      <w:marLeft w:val="0"/>
      <w:marRight w:val="0"/>
      <w:marTop w:val="0"/>
      <w:marBottom w:val="0"/>
      <w:divBdr>
        <w:top w:val="none" w:sz="0" w:space="0" w:color="auto"/>
        <w:left w:val="none" w:sz="0" w:space="0" w:color="auto"/>
        <w:bottom w:val="none" w:sz="0" w:space="0" w:color="auto"/>
        <w:right w:val="none" w:sz="0" w:space="0" w:color="auto"/>
      </w:divBdr>
    </w:div>
    <w:div w:id="712774970">
      <w:bodyDiv w:val="1"/>
      <w:marLeft w:val="0"/>
      <w:marRight w:val="0"/>
      <w:marTop w:val="0"/>
      <w:marBottom w:val="0"/>
      <w:divBdr>
        <w:top w:val="none" w:sz="0" w:space="0" w:color="auto"/>
        <w:left w:val="none" w:sz="0" w:space="0" w:color="auto"/>
        <w:bottom w:val="none" w:sz="0" w:space="0" w:color="auto"/>
        <w:right w:val="none" w:sz="0" w:space="0" w:color="auto"/>
      </w:divBdr>
    </w:div>
    <w:div w:id="734863008">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735663740">
      <w:bodyDiv w:val="1"/>
      <w:marLeft w:val="0"/>
      <w:marRight w:val="0"/>
      <w:marTop w:val="0"/>
      <w:marBottom w:val="0"/>
      <w:divBdr>
        <w:top w:val="none" w:sz="0" w:space="0" w:color="auto"/>
        <w:left w:val="none" w:sz="0" w:space="0" w:color="auto"/>
        <w:bottom w:val="none" w:sz="0" w:space="0" w:color="auto"/>
        <w:right w:val="none" w:sz="0" w:space="0" w:color="auto"/>
      </w:divBdr>
    </w:div>
    <w:div w:id="2000308508">
      <w:bodyDiv w:val="1"/>
      <w:marLeft w:val="0"/>
      <w:marRight w:val="0"/>
      <w:marTop w:val="0"/>
      <w:marBottom w:val="0"/>
      <w:divBdr>
        <w:top w:val="none" w:sz="0" w:space="0" w:color="auto"/>
        <w:left w:val="none" w:sz="0" w:space="0" w:color="auto"/>
        <w:bottom w:val="none" w:sz="0" w:space="0" w:color="auto"/>
        <w:right w:val="none" w:sz="0" w:space="0" w:color="auto"/>
      </w:divBdr>
      <w:divsChild>
        <w:div w:id="164172157">
          <w:marLeft w:val="547"/>
          <w:marRight w:val="0"/>
          <w:marTop w:val="0"/>
          <w:marBottom w:val="360"/>
          <w:divBdr>
            <w:top w:val="none" w:sz="0" w:space="0" w:color="auto"/>
            <w:left w:val="none" w:sz="0" w:space="0" w:color="auto"/>
            <w:bottom w:val="none" w:sz="0" w:space="0" w:color="auto"/>
            <w:right w:val="none" w:sz="0" w:space="0" w:color="auto"/>
          </w:divBdr>
        </w:div>
      </w:divsChild>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2.deloitte.com/content/dam/Deloitte/de/Documents/technology/Intrapreneurship_Whitepaper_English.pdf" TargetMode="External" Id="rId8" /><Relationship Type="http://schemas.openxmlformats.org/officeDocument/2006/relationships/settings" Target="settings.xml" Id="rId3" /><Relationship Type="http://schemas.openxmlformats.org/officeDocument/2006/relationships/hyperlink" Target="https://doi.org/10.1177/017084068600700408"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fe6f036ce5243ae" /><Relationship Type="http://schemas.openxmlformats.org/officeDocument/2006/relationships/image" Target="/media/image4.jpg" Id="Rabc043315bd6401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10</revision>
  <lastPrinted>2022-11-25T11:56:00.0000000Z</lastPrinted>
  <dcterms:created xsi:type="dcterms:W3CDTF">2022-12-20T11:21:00.0000000Z</dcterms:created>
  <dcterms:modified xsi:type="dcterms:W3CDTF">2024-01-31T14:41:48.5488174Z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