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4FE53C4" w:rsidR="00F47DE3" w:rsidRDefault="008717AC">
      <w:pPr>
        <w:pStyle w:val="P68B1DB1-Textkrper1"/>
        <w:tabs>
          <w:tab w:val="left" w:pos="567"/>
          <w:tab w:val="left" w:pos="10773"/>
        </w:tabs>
        <w:ind w:left="-709" w:right="-568"/>
        <w:jc w:val="center"/>
      </w:pPr>
      <w:r>
        <w:t>Caso práctico</w:t>
      </w:r>
      <w:r w:rsidR="00CB4F4E">
        <w:t>:</w:t>
      </w:r>
    </w:p>
    <w:p w14:paraId="175ABAA0" w14:textId="699EA82B" w:rsidR="00F47DE3" w:rsidRDefault="008717AC">
      <w:pPr>
        <w:pStyle w:val="P68B1DB1-Textkrper1"/>
        <w:tabs>
          <w:tab w:val="left" w:pos="567"/>
          <w:tab w:val="left" w:pos="10773"/>
        </w:tabs>
        <w:ind w:left="-709" w:right="-568"/>
        <w:jc w:val="center"/>
      </w:pPr>
      <w:r>
        <w:t xml:space="preserve">El </w:t>
      </w:r>
      <w:r w:rsidR="00CB4F4E">
        <w:t xml:space="preserve">AARRR Modelo en acción. </w:t>
      </w:r>
    </w:p>
    <w:p w14:paraId="2A60A73F" w14:textId="3B735577" w:rsidR="00F47DE3" w:rsidRDefault="00CB4F4E">
      <w:pPr>
        <w:pStyle w:val="P68B1DB1-Textkrper1"/>
        <w:tabs>
          <w:tab w:val="left" w:pos="567"/>
          <w:tab w:val="left" w:pos="10773"/>
        </w:tabs>
        <w:ind w:left="-709" w:right="-568"/>
        <w:jc w:val="center"/>
      </w:pPr>
      <w:r>
        <w:t xml:space="preserve">El ejemplo </w:t>
      </w:r>
      <w:r w:rsidR="008717AC">
        <w:t>Grammarly</w:t>
      </w:r>
    </w:p>
    <w:p w14:paraId="765BDD30" w14:textId="77777777" w:rsidR="00F47DE3" w:rsidRDefault="00F47DE3">
      <w:pPr>
        <w:ind w:left="567" w:hanging="425"/>
        <w:jc w:val="center"/>
        <w:rPr>
          <w:rFonts w:ascii="Helvetica neue" w:hAnsi="Helvetica neue" w:cstheme="majorHAnsi"/>
          <w:b/>
          <w:color w:val="4D94B7"/>
          <w:sz w:val="40"/>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F47DE3" w14:paraId="668CA9D6" w14:textId="77777777">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F47DE3" w:rsidRDefault="00CB4F4E">
            <w:pPr>
              <w:pStyle w:val="P68B1DB1-Standard2"/>
            </w:pPr>
            <w:r>
              <w:t>Palabras clave (meta tag)</w:t>
            </w:r>
          </w:p>
        </w:tc>
        <w:tc>
          <w:tcPr>
            <w:tcW w:w="6642" w:type="dxa"/>
            <w:shd w:val="clear" w:color="auto" w:fill="FFFFFF" w:themeFill="background1"/>
          </w:tcPr>
          <w:p w14:paraId="01319779" w14:textId="231DD1ED" w:rsidR="00F47DE3" w:rsidRDefault="00CB4F4E">
            <w:pPr>
              <w:pStyle w:val="P68B1DB1-Standard3"/>
            </w:pPr>
            <w:r>
              <w:t>Modelo AARRR, Adquisición, Activación, Retención, Referencia</w:t>
            </w:r>
          </w:p>
        </w:tc>
      </w:tr>
      <w:tr w:rsidR="00F47DE3" w14:paraId="3FBCA023" w14:textId="77777777">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F47DE3" w:rsidRDefault="00CB4F4E">
            <w:pPr>
              <w:pStyle w:val="P68B1DB1-Standard2"/>
            </w:pPr>
            <w:r>
              <w:t>Proporcionado por</w:t>
            </w:r>
          </w:p>
        </w:tc>
        <w:tc>
          <w:tcPr>
            <w:tcW w:w="6642" w:type="dxa"/>
            <w:shd w:val="clear" w:color="auto" w:fill="FFFFFF" w:themeFill="background1"/>
          </w:tcPr>
          <w:p w14:paraId="1E29AC1D" w14:textId="7AC2E529" w:rsidR="00F47DE3" w:rsidRDefault="00CB4F4E">
            <w:pPr>
              <w:pStyle w:val="P68B1DB1-Standard4"/>
            </w:pPr>
            <w:r>
              <w:t>IDP &amp; IHF</w:t>
            </w:r>
          </w:p>
        </w:tc>
      </w:tr>
      <w:tr w:rsidR="00F47DE3" w14:paraId="71677245" w14:textId="77777777">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F47DE3" w:rsidRDefault="00CB4F4E">
            <w:pPr>
              <w:pStyle w:val="P68B1DB1-Standard2"/>
            </w:pPr>
            <w:r>
              <w:t>Idioma</w:t>
            </w:r>
          </w:p>
        </w:tc>
        <w:tc>
          <w:tcPr>
            <w:tcW w:w="6642" w:type="dxa"/>
            <w:shd w:val="clear" w:color="auto" w:fill="FFFFFF" w:themeFill="background1"/>
          </w:tcPr>
          <w:p w14:paraId="18723BA9" w14:textId="15E45B8D" w:rsidR="00F47DE3" w:rsidRDefault="008717AC">
            <w:pPr>
              <w:pStyle w:val="P68B1DB1-Standard4"/>
            </w:pPr>
            <w:r>
              <w:t>España</w:t>
            </w:r>
          </w:p>
        </w:tc>
      </w:tr>
      <w:tr w:rsidR="00F47DE3" w14:paraId="5DCC76F6" w14:textId="77777777">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5B915B24" w:rsidR="00F47DE3" w:rsidRDefault="008717AC">
            <w:pPr>
              <w:pStyle w:val="P68B1DB1-Standard2"/>
              <w:jc w:val="both"/>
              <w:textAlignment w:val="baseline"/>
            </w:pPr>
            <w:r>
              <w:t>Caso práctico</w:t>
            </w:r>
          </w:p>
        </w:tc>
      </w:tr>
      <w:tr w:rsidR="00F47DE3" w14:paraId="2D8426DB" w14:textId="77777777">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75D80E54" w14:textId="471310BA" w:rsidR="00F47DE3" w:rsidRDefault="00CB4F4E">
            <w:pPr>
              <w:pStyle w:val="P68B1DB1-Listenabsatz5"/>
            </w:pPr>
            <w:r>
              <w:t xml:space="preserve">La </w:t>
            </w:r>
            <w:r w:rsidRPr="008717AC">
              <w:rPr>
                <w:i/>
                <w:iCs/>
              </w:rPr>
              <w:t>startup</w:t>
            </w:r>
            <w:r>
              <w:t xml:space="preserve"> de software de edición automática de 13 mil millones</w:t>
            </w:r>
            <w:r w:rsidR="008717AC">
              <w:t xml:space="preserve"> de dólares</w:t>
            </w:r>
            <w:r>
              <w:t xml:space="preserve"> Grammarly ha experimentado un crecimiento exponencial en su enorme base de clientes. El mapa de viaje del usuario para Grammarly se utilizará para demostrar cómo funcionan la adquisición, la activación, la retención y las otras métricas piratas de AARRR.</w:t>
            </w:r>
          </w:p>
          <w:p w14:paraId="7CAAAEAA" w14:textId="77777777" w:rsidR="00F47DE3" w:rsidRDefault="00F47DE3">
            <w:pPr>
              <w:pStyle w:val="Listenabsatz"/>
              <w:rPr>
                <w:rFonts w:ascii="Helvetica neue" w:hAnsi="Helvetica neue" w:cstheme="minorHAnsi"/>
              </w:rPr>
            </w:pPr>
          </w:p>
          <w:p w14:paraId="3AFB9D3B" w14:textId="5A57FCCC" w:rsidR="00F47DE3" w:rsidRDefault="00CB4F4E">
            <w:pPr>
              <w:pStyle w:val="P68B1DB1-Listenabsatz6"/>
              <w:numPr>
                <w:ilvl w:val="0"/>
                <w:numId w:val="28"/>
              </w:numPr>
            </w:pPr>
            <w:r>
              <w:t xml:space="preserve">Adquisición </w:t>
            </w:r>
          </w:p>
          <w:p w14:paraId="61CBA272" w14:textId="5DD57FE8" w:rsidR="00F47DE3" w:rsidRDefault="00CB4F4E">
            <w:pPr>
              <w:pStyle w:val="P68B1DB1-Listenabsatz5"/>
            </w:pPr>
            <w:r>
              <w:t>Las iniciativas de marketing de Grammarly son un ejemplo de cómo el marketing de contenidos es crucial para la adquisición.  La compañía se dirige específicamente a las palabras clave SEO de punto</w:t>
            </w:r>
            <w:r w:rsidR="008717AC">
              <w:t xml:space="preserve">s críticos </w:t>
            </w:r>
            <w:r>
              <w:t xml:space="preserve">(por ejemplo, afecto vs. efecto).  </w:t>
            </w:r>
          </w:p>
          <w:p w14:paraId="5C23CA3A" w14:textId="77777777" w:rsidR="00F47DE3" w:rsidRDefault="00F47DE3">
            <w:pPr>
              <w:pStyle w:val="Listenabsatz"/>
              <w:rPr>
                <w:rFonts w:ascii="Helvetica neue" w:hAnsi="Helvetica neue" w:cstheme="minorHAnsi"/>
              </w:rPr>
            </w:pPr>
          </w:p>
          <w:p w14:paraId="6411F29A" w14:textId="45372DFE" w:rsidR="00F47DE3" w:rsidRDefault="00CB4F4E">
            <w:pPr>
              <w:pStyle w:val="P68B1DB1-Listenabsatz6"/>
              <w:numPr>
                <w:ilvl w:val="0"/>
                <w:numId w:val="28"/>
              </w:numPr>
            </w:pPr>
            <w:r>
              <w:t xml:space="preserve">Activación </w:t>
            </w:r>
          </w:p>
          <w:p w14:paraId="1F94EE7D" w14:textId="77777777" w:rsidR="00F47DE3" w:rsidRDefault="00CB4F4E">
            <w:pPr>
              <w:pStyle w:val="P68B1DB1-Listenabsatz5"/>
            </w:pPr>
            <w:r>
              <w:t xml:space="preserve">Los usuarios están principalmente comprometidos con la herramienta </w:t>
            </w:r>
            <w:r w:rsidRPr="00933B3A">
              <w:rPr>
                <w:i/>
                <w:iCs/>
              </w:rPr>
              <w:t>freemium</w:t>
            </w:r>
            <w:r>
              <w:t xml:space="preserve"> de Grammarly y los correos promocionales. </w:t>
            </w:r>
          </w:p>
          <w:p w14:paraId="2F8E0482" w14:textId="4EFE596B" w:rsidR="00F47DE3" w:rsidRDefault="00CB4F4E">
            <w:pPr>
              <w:pStyle w:val="P68B1DB1-Listenabsatz5"/>
            </w:pPr>
            <w:r>
              <w:t>Se envía un correo electrónico de bienvenida a los usuarios para describir cómo aprovechar al máximo la herramienta de edición. Recibirán un nuevo correo electrónico con nuevos consejos después de cada instalación de la aplicación.</w:t>
            </w:r>
          </w:p>
          <w:p w14:paraId="764FB38F" w14:textId="77777777" w:rsidR="00F47DE3" w:rsidRDefault="00F47DE3">
            <w:pPr>
              <w:pStyle w:val="Listenabsatz"/>
              <w:rPr>
                <w:rFonts w:ascii="Helvetica neue" w:hAnsi="Helvetica neue" w:cstheme="minorHAnsi"/>
              </w:rPr>
            </w:pPr>
          </w:p>
          <w:p w14:paraId="6AA867F6" w14:textId="68CC93D9" w:rsidR="00F47DE3" w:rsidRDefault="00CB4F4E">
            <w:pPr>
              <w:pStyle w:val="P68B1DB1-Listenabsatz6"/>
              <w:numPr>
                <w:ilvl w:val="0"/>
                <w:numId w:val="28"/>
              </w:numPr>
            </w:pPr>
            <w:r>
              <w:t>Retención</w:t>
            </w:r>
          </w:p>
          <w:p w14:paraId="59A941AD" w14:textId="77777777" w:rsidR="00F47DE3" w:rsidRDefault="00CB4F4E">
            <w:pPr>
              <w:pStyle w:val="P68B1DB1-Listenabsatz5"/>
            </w:pPr>
            <w:r>
              <w:t>Para mantener clientes activos, Grammarly está trabajando diligentemente en su enfoque de marketing por correo electrónico.  La compañía de software de edición automática utiliza tendencias, insignias y registros personales para atraer a los clientes.</w:t>
            </w:r>
          </w:p>
          <w:p w14:paraId="4D49669C" w14:textId="77777777" w:rsidR="00F47DE3" w:rsidRDefault="00F47DE3">
            <w:pPr>
              <w:pStyle w:val="Listenabsatz"/>
              <w:rPr>
                <w:rFonts w:ascii="Helvetica neue" w:hAnsi="Helvetica neue" w:cstheme="minorHAnsi"/>
              </w:rPr>
            </w:pPr>
          </w:p>
          <w:p w14:paraId="13F24392" w14:textId="48293969" w:rsidR="00F47DE3" w:rsidRDefault="00CB4F4E">
            <w:pPr>
              <w:pStyle w:val="P68B1DB1-Listenabsatz6"/>
              <w:numPr>
                <w:ilvl w:val="0"/>
                <w:numId w:val="28"/>
              </w:numPr>
            </w:pPr>
            <w:r>
              <w:t>Referencia</w:t>
            </w:r>
          </w:p>
          <w:p w14:paraId="15746645" w14:textId="5016E3CC" w:rsidR="00F47DE3" w:rsidRDefault="00CB4F4E">
            <w:pPr>
              <w:pStyle w:val="P68B1DB1-Standard3"/>
              <w:textAlignment w:val="baseline"/>
              <w:rPr>
                <w:b/>
              </w:rPr>
            </w:pPr>
            <w:r>
              <w:t>Grammarly utiliza un esquema de afiliados sencillo para promocionar su producto. Coloca un enlace de seguimiento o banner en un sitio web y recibe un pago cuando un usuario se registra e instala Grammarly.</w:t>
            </w:r>
          </w:p>
        </w:tc>
      </w:tr>
      <w:tr w:rsidR="00F47DE3" w14:paraId="40A7A339" w14:textId="77777777">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795C765C" w:rsidR="00F47DE3" w:rsidRDefault="00CB4F4E">
            <w:pPr>
              <w:pStyle w:val="P68B1DB1-Standard2"/>
            </w:pPr>
            <w:r>
              <w:t>Referencia</w:t>
            </w:r>
          </w:p>
        </w:tc>
        <w:tc>
          <w:tcPr>
            <w:tcW w:w="6642" w:type="dxa"/>
            <w:tcBorders>
              <w:top w:val="single" w:sz="4" w:space="0" w:color="4D94B7"/>
            </w:tcBorders>
            <w:shd w:val="clear" w:color="auto" w:fill="FFFFFF" w:themeFill="background1"/>
          </w:tcPr>
          <w:p w14:paraId="67A1AE46" w14:textId="6334127F" w:rsidR="00F47DE3" w:rsidRDefault="00414E95">
            <w:pPr>
              <w:textAlignment w:val="baseline"/>
              <w:rPr>
                <w:rFonts w:ascii="Helvetica neue" w:hAnsi="Helvetica neue" w:cstheme="minorHAnsi"/>
              </w:rPr>
            </w:pPr>
            <w:hyperlink r:id="rId7" w:history="1">
              <w:r w:rsidR="00CB4F4E">
                <w:rPr>
                  <w:rStyle w:val="Hyperlink"/>
                  <w:rFonts w:ascii="Helvetica neue" w:hAnsi="Helvetica neue" w:cstheme="minorHAnsi"/>
                </w:rPr>
                <w:t>https://www.grammarly.com</w:t>
              </w:r>
            </w:hyperlink>
          </w:p>
        </w:tc>
      </w:tr>
    </w:tbl>
    <w:p w14:paraId="147C05D8" w14:textId="77777777" w:rsidR="00F47DE3" w:rsidRDefault="00F47DE3">
      <w:pPr>
        <w:pStyle w:val="Textkrper"/>
        <w:rPr>
          <w:rFonts w:ascii="Helvetica neue" w:hAnsi="Helvetica neue"/>
        </w:rPr>
      </w:pPr>
    </w:p>
    <w:sectPr w:rsidR="00F47DE3">
      <w:headerReference w:type="default" r:id="rId8"/>
      <w:footerReference w:type="default" r:id="rId9"/>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EBA1" w14:textId="77777777" w:rsidR="00CB4F4E" w:rsidRDefault="00CB4F4E">
      <w:r>
        <w:separator/>
      </w:r>
    </w:p>
  </w:endnote>
  <w:endnote w:type="continuationSeparator" w:id="0">
    <w:p w14:paraId="46D843F8" w14:textId="77777777" w:rsidR="00CB4F4E" w:rsidRDefault="00CB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F47DE3" w:rsidRDefault="00CB4F4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6648BA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F47DE3" w14:paraId="67534BAE" w14:textId="77777777" w:rsidTr="00414E95">
      <w:trPr>
        <w:trHeight w:val="170"/>
      </w:trPr>
      <w:tc>
        <w:tcPr>
          <w:tcW w:w="3180" w:type="dxa"/>
        </w:tcPr>
        <w:p w14:paraId="223DE6AB" w14:textId="44D00CB1" w:rsidR="00F47DE3" w:rsidRDefault="5075A858">
          <w:pPr>
            <w:pStyle w:val="P68B1DB1-Fuzeile8"/>
          </w:pPr>
          <w:r>
            <w:rPr>
              <w:noProof/>
            </w:rPr>
            <w:drawing>
              <wp:inline distT="0" distB="0" distL="0" distR="0" wp14:anchorId="54BAA064" wp14:editId="228855A0">
                <wp:extent cx="1885950" cy="400050"/>
                <wp:effectExtent l="0" t="0" r="0" b="0"/>
                <wp:docPr id="1587852098" name="Grafik 158785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3" w:type="dxa"/>
        </w:tcPr>
        <w:p w14:paraId="056A3FFF" w14:textId="15428899" w:rsidR="00F47DE3" w:rsidRDefault="5075A858" w:rsidP="5075A858">
          <w:pPr>
            <w:pStyle w:val="Fuzeile"/>
            <w:widowControl w:val="0"/>
            <w:rPr>
              <w:sz w:val="16"/>
              <w:szCs w:val="16"/>
            </w:rPr>
          </w:pPr>
          <w:r w:rsidRPr="5075A858">
            <w:rPr>
              <w:sz w:val="16"/>
              <w:szCs w:val="16"/>
            </w:rPr>
            <w:t xml:space="preserve">Funded </w:t>
          </w:r>
          <w:r w:rsidRPr="5075A858">
            <w:rPr>
              <w:sz w:val="16"/>
              <w:szCs w:val="16"/>
            </w:rPr>
            <w:t>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6" w:type="dxa"/>
        </w:tcPr>
        <w:p w14:paraId="59FA0309" w14:textId="5FCAB6B4" w:rsidR="00F47DE3" w:rsidRDefault="5075A858">
          <w:pPr>
            <w:pStyle w:val="P68B1DB1-Fuzeile8"/>
          </w:pPr>
          <w:r>
            <w:rPr>
              <w:noProof/>
            </w:rPr>
            <w:drawing>
              <wp:inline distT="0" distB="0" distL="0" distR="0" wp14:anchorId="7AD0A8B1" wp14:editId="5777621F">
                <wp:extent cx="1009650" cy="352425"/>
                <wp:effectExtent l="0" t="0" r="0" b="0"/>
                <wp:docPr id="1641567831" name="Grafik 164156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r w:rsidR="00CB4F4E">
            <w:br/>
          </w:r>
        </w:p>
      </w:tc>
    </w:tr>
  </w:tbl>
  <w:p w14:paraId="3B1CF903" w14:textId="77777777" w:rsidR="00F47DE3" w:rsidRDefault="00F47D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ACEE" w14:textId="77777777" w:rsidR="00CB4F4E" w:rsidRDefault="00CB4F4E">
      <w:r>
        <w:separator/>
      </w:r>
    </w:p>
  </w:footnote>
  <w:footnote w:type="continuationSeparator" w:id="0">
    <w:p w14:paraId="70EA2BF0" w14:textId="77777777" w:rsidR="00CB4F4E" w:rsidRDefault="00CB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F47DE3" w:rsidRDefault="00CB4F4E">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3A393A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14:paraId="5AAFB41D" w14:textId="7FD6701B" w:rsidR="00F47DE3" w:rsidRDefault="00CB4F4E">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2E43F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73A14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F47DE3" w:rsidRDefault="00F47DE3">
    <w:pPr>
      <w:pStyle w:val="Textkrper"/>
      <w:tabs>
        <w:tab w:val="left" w:pos="426"/>
        <w:tab w:val="left" w:pos="11199"/>
      </w:tabs>
    </w:pPr>
  </w:p>
  <w:p w14:paraId="48E6A0BB" w14:textId="77777777" w:rsidR="00F47DE3" w:rsidRDefault="00F47DE3">
    <w:pPr>
      <w:pStyle w:val="Textkrper"/>
      <w:jc w:val="center"/>
      <w:rPr>
        <w:rFonts w:ascii="Calibri Light" w:hAnsi="Calibri Light" w:cs="Calibri Light"/>
        <w:sz w:val="12"/>
      </w:rPr>
    </w:pPr>
  </w:p>
  <w:p w14:paraId="4972850E" w14:textId="77777777" w:rsidR="00F47DE3" w:rsidRDefault="00F47DE3">
    <w:pPr>
      <w:pStyle w:val="Textkrper"/>
      <w:jc w:val="center"/>
      <w:rPr>
        <w:rFonts w:ascii="Calibri Light" w:hAnsi="Calibri Light" w:cs="Calibri Light"/>
        <w:sz w:val="12"/>
      </w:rPr>
    </w:pPr>
  </w:p>
  <w:p w14:paraId="1E061BA8" w14:textId="77777777" w:rsidR="00F47DE3" w:rsidRDefault="00F47DE3">
    <w:pPr>
      <w:pStyle w:val="Textkrper"/>
      <w:jc w:val="center"/>
      <w:rPr>
        <w:rFonts w:ascii="Calibri Light" w:hAnsi="Calibri Light" w:cs="Calibri Light"/>
        <w:sz w:val="12"/>
      </w:rPr>
    </w:pPr>
  </w:p>
  <w:p w14:paraId="54917538" w14:textId="77777777" w:rsidR="00F47DE3" w:rsidRDefault="00F47DE3">
    <w:pPr>
      <w:pStyle w:val="Textkrper"/>
      <w:jc w:val="center"/>
      <w:rPr>
        <w:rFonts w:ascii="Calibri Light" w:hAnsi="Calibri Light" w:cs="Calibri Light"/>
        <w:sz w:val="12"/>
      </w:rPr>
    </w:pPr>
  </w:p>
  <w:p w14:paraId="1A025CEA" w14:textId="77777777" w:rsidR="00F47DE3" w:rsidRDefault="00F47DE3">
    <w:pPr>
      <w:pStyle w:val="Textkrper"/>
      <w:jc w:val="center"/>
      <w:rPr>
        <w:rFonts w:ascii="Calibri Light" w:hAnsi="Calibri Light" w:cs="Calibri Light"/>
        <w:sz w:val="14"/>
      </w:rPr>
    </w:pPr>
  </w:p>
  <w:p w14:paraId="3790892B" w14:textId="6E99D4C6" w:rsidR="00F47DE3" w:rsidRDefault="00CB4F4E">
    <w:pPr>
      <w:pStyle w:val="P68B1DB1-Textkrper7"/>
      <w:jc w:val="center"/>
    </w:pPr>
    <w:r>
      <w:t>Genieproject.eu</w:t>
    </w:r>
  </w:p>
  <w:p w14:paraId="2A80CF26" w14:textId="77777777" w:rsidR="00F47DE3" w:rsidRDefault="00F47D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1A5A39"/>
    <w:multiLevelType w:val="hybridMultilevel"/>
    <w:tmpl w:val="27C292A0"/>
    <w:lvl w:ilvl="0" w:tplc="97CCD544">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9653869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0321422">
    <w:abstractNumId w:val="25"/>
  </w:num>
  <w:num w:numId="3" w16cid:durableId="1773427577">
    <w:abstractNumId w:val="9"/>
  </w:num>
  <w:num w:numId="4" w16cid:durableId="750271472">
    <w:abstractNumId w:val="15"/>
  </w:num>
  <w:num w:numId="5" w16cid:durableId="460466192">
    <w:abstractNumId w:val="7"/>
  </w:num>
  <w:num w:numId="6" w16cid:durableId="1688172442">
    <w:abstractNumId w:val="24"/>
  </w:num>
  <w:num w:numId="7" w16cid:durableId="488518152">
    <w:abstractNumId w:val="14"/>
  </w:num>
  <w:num w:numId="8" w16cid:durableId="1899777641">
    <w:abstractNumId w:val="13"/>
  </w:num>
  <w:num w:numId="9" w16cid:durableId="794102640">
    <w:abstractNumId w:val="17"/>
  </w:num>
  <w:num w:numId="10" w16cid:durableId="942345280">
    <w:abstractNumId w:val="12"/>
  </w:num>
  <w:num w:numId="11" w16cid:durableId="1960793106">
    <w:abstractNumId w:val="6"/>
  </w:num>
  <w:num w:numId="12" w16cid:durableId="2088992129">
    <w:abstractNumId w:val="8"/>
  </w:num>
  <w:num w:numId="13" w16cid:durableId="377508049">
    <w:abstractNumId w:val="22"/>
  </w:num>
  <w:num w:numId="14" w16cid:durableId="95490035">
    <w:abstractNumId w:val="26"/>
  </w:num>
  <w:num w:numId="15" w16cid:durableId="1210916514">
    <w:abstractNumId w:val="16"/>
  </w:num>
  <w:num w:numId="16" w16cid:durableId="1780686220">
    <w:abstractNumId w:val="1"/>
  </w:num>
  <w:num w:numId="17" w16cid:durableId="1853640197">
    <w:abstractNumId w:val="23"/>
  </w:num>
  <w:num w:numId="18" w16cid:durableId="440761357">
    <w:abstractNumId w:val="27"/>
  </w:num>
  <w:num w:numId="19" w16cid:durableId="1074400967">
    <w:abstractNumId w:val="2"/>
  </w:num>
  <w:num w:numId="20" w16cid:durableId="2145073540">
    <w:abstractNumId w:val="20"/>
  </w:num>
  <w:num w:numId="21" w16cid:durableId="946740693">
    <w:abstractNumId w:val="21"/>
  </w:num>
  <w:num w:numId="22" w16cid:durableId="1786971130">
    <w:abstractNumId w:val="5"/>
  </w:num>
  <w:num w:numId="23" w16cid:durableId="2084527995">
    <w:abstractNumId w:val="18"/>
  </w:num>
  <w:num w:numId="24" w16cid:durableId="1603027629">
    <w:abstractNumId w:val="11"/>
  </w:num>
  <w:num w:numId="25" w16cid:durableId="876502775">
    <w:abstractNumId w:val="3"/>
  </w:num>
  <w:num w:numId="26" w16cid:durableId="1053310741">
    <w:abstractNumId w:val="0"/>
  </w:num>
  <w:num w:numId="27" w16cid:durableId="1336108259">
    <w:abstractNumId w:val="4"/>
  </w:num>
  <w:num w:numId="28" w16cid:durableId="3461045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14E95"/>
    <w:rsid w:val="004369A0"/>
    <w:rsid w:val="00467D9D"/>
    <w:rsid w:val="004B10DB"/>
    <w:rsid w:val="004B5ECC"/>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717AC"/>
    <w:rsid w:val="00884B7D"/>
    <w:rsid w:val="008E08F1"/>
    <w:rsid w:val="009248D3"/>
    <w:rsid w:val="00933B3A"/>
    <w:rsid w:val="009750CD"/>
    <w:rsid w:val="009843CB"/>
    <w:rsid w:val="00986C6F"/>
    <w:rsid w:val="009903FC"/>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0023"/>
    <w:rsid w:val="00B76053"/>
    <w:rsid w:val="00B77D0D"/>
    <w:rsid w:val="00B82763"/>
    <w:rsid w:val="00BA5E80"/>
    <w:rsid w:val="00BF531A"/>
    <w:rsid w:val="00C07B0F"/>
    <w:rsid w:val="00C35E6B"/>
    <w:rsid w:val="00C47362"/>
    <w:rsid w:val="00C8382D"/>
    <w:rsid w:val="00C97ACD"/>
    <w:rsid w:val="00CB2BF0"/>
    <w:rsid w:val="00CB4F4E"/>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47DE3"/>
    <w:rsid w:val="00F6298B"/>
    <w:rsid w:val="00F74502"/>
    <w:rsid w:val="00F833F4"/>
    <w:rsid w:val="00F85D2D"/>
    <w:rsid w:val="00F93275"/>
    <w:rsid w:val="00F94C13"/>
    <w:rsid w:val="00FA7D90"/>
    <w:rsid w:val="00FD1657"/>
    <w:rsid w:val="00FE6704"/>
    <w:rsid w:val="00FF7BD6"/>
    <w:rsid w:val="168D88A9"/>
    <w:rsid w:val="4ED9D7F7"/>
    <w:rsid w:val="5075A858"/>
    <w:rsid w:val="6FC791C4"/>
    <w:rsid w:val="7163622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customStyle="1" w:styleId="P68B1DB1-Textkrper1">
    <w:name w:val="P68B1DB1-Textkrper1"/>
    <w:basedOn w:val="Textkrper"/>
    <w:rPr>
      <w:rFonts w:ascii="Helvetica neue" w:hAnsi="Helvetica neue" w:cstheme="minorHAnsi"/>
      <w:b/>
      <w:color w:val="AED738"/>
      <w:sz w:val="40"/>
    </w:rPr>
  </w:style>
  <w:style w:type="paragraph" w:customStyle="1" w:styleId="P68B1DB1-Standard2">
    <w:name w:val="P68B1DB1-Standard2"/>
    <w:basedOn w:val="Standard"/>
    <w:rPr>
      <w:rFonts w:ascii="Helvetica neue" w:hAnsi="Helvetica neue" w:cstheme="minorHAnsi"/>
      <w:b/>
      <w:color w:val="FFFFFF" w:themeColor="background1"/>
    </w:rPr>
  </w:style>
  <w:style w:type="paragraph" w:customStyle="1" w:styleId="P68B1DB1-Standard3">
    <w:name w:val="P68B1DB1-Standard3"/>
    <w:basedOn w:val="Standard"/>
    <w:rPr>
      <w:rFonts w:ascii="Helvetica neue" w:hAnsi="Helvetica neue" w:cstheme="minorHAnsi"/>
    </w:rPr>
  </w:style>
  <w:style w:type="paragraph" w:customStyle="1" w:styleId="P68B1DB1-Standard4">
    <w:name w:val="P68B1DB1-Standard4"/>
    <w:basedOn w:val="Standard"/>
    <w:rPr>
      <w:rFonts w:ascii="Helvetica neue" w:eastAsia="Calibri" w:hAnsi="Helvetica neue" w:cstheme="minorHAnsi"/>
    </w:rPr>
  </w:style>
  <w:style w:type="paragraph" w:customStyle="1" w:styleId="P68B1DB1-Listenabsatz5">
    <w:name w:val="P68B1DB1-Listenabsatz5"/>
    <w:basedOn w:val="Listenabsatz"/>
    <w:rPr>
      <w:rFonts w:ascii="Helvetica neue" w:hAnsi="Helvetica neue" w:cstheme="minorHAnsi"/>
    </w:rPr>
  </w:style>
  <w:style w:type="paragraph" w:customStyle="1" w:styleId="P68B1DB1-Listenabsatz6">
    <w:name w:val="P68B1DB1-Listenabsatz6"/>
    <w:basedOn w:val="Listenabsatz"/>
    <w:rPr>
      <w:rFonts w:ascii="Helvetica neue" w:hAnsi="Helvetica neue" w:cstheme="minorHAnsi"/>
      <w:b/>
    </w:rPr>
  </w:style>
  <w:style w:type="paragraph" w:customStyle="1" w:styleId="P68B1DB1-Textkrper7">
    <w:name w:val="P68B1DB1-Textkrper7"/>
    <w:basedOn w:val="Textkrper"/>
    <w:rPr>
      <w:rFonts w:ascii="Calibri Light" w:hAnsi="Calibri Light" w:cs="Calibri Light"/>
      <w:sz w:val="14"/>
    </w:rPr>
  </w:style>
  <w:style w:type="paragraph" w:customStyle="1" w:styleId="P68B1DB1-Fuzeile8">
    <w:name w:val="P68B1DB1-Fuzeile8"/>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mmar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1489</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6</cp:revision>
  <cp:lastPrinted>2022-11-25T11:56:00Z</cp:lastPrinted>
  <dcterms:created xsi:type="dcterms:W3CDTF">2024-01-31T11:44:00Z</dcterms:created>
  <dcterms:modified xsi:type="dcterms:W3CDTF">2024-02-04T23:27:00Z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