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5E09" w:rsidR="0051620C" w:rsidP="00493C66" w:rsidRDefault="005C5E09" w14:paraId="16DF3E01" w14:textId="0BB28738">
      <w:pPr>
        <w:pStyle w:val="Textkrper"/>
        <w:tabs>
          <w:tab w:val="left" w:pos="567"/>
          <w:tab w:val="left" w:pos="10773"/>
        </w:tabs>
        <w:ind w:left="-567" w:right="-568"/>
        <w:jc w:val="center"/>
        <w:rPr>
          <w:rFonts w:ascii="Helvetica neue" w:hAnsi="Helvetica neue" w:cstheme="minorHAnsi"/>
          <w:b/>
          <w:bCs/>
          <w:color w:val="AED738"/>
          <w:sz w:val="40"/>
          <w:szCs w:val="36"/>
          <w:lang w:val="hr-HR"/>
        </w:rPr>
      </w:pPr>
      <w:r w:rsidRPr="005C5E09">
        <w:rPr>
          <w:rFonts w:ascii="Helvetica neue" w:hAnsi="Helvetica neue" w:cstheme="minorHAnsi"/>
          <w:b/>
          <w:bCs/>
          <w:color w:val="AED738"/>
          <w:sz w:val="40"/>
          <w:szCs w:val="36"/>
          <w:lang w:val="hr-HR"/>
        </w:rPr>
        <w:t>Studija slučaja</w:t>
      </w:r>
      <w:r w:rsidRPr="005C5E09" w:rsidR="00A25E05">
        <w:rPr>
          <w:rFonts w:ascii="Helvetica neue" w:hAnsi="Helvetica neue" w:cstheme="minorHAnsi"/>
          <w:b/>
          <w:bCs/>
          <w:color w:val="AED738"/>
          <w:sz w:val="40"/>
          <w:szCs w:val="36"/>
          <w:lang w:val="hr-HR"/>
        </w:rPr>
        <w:t>:</w:t>
      </w:r>
    </w:p>
    <w:p w:rsidRPr="005C5E09" w:rsidR="00367762" w:rsidP="00493C66" w:rsidRDefault="00E663D6" w14:paraId="2A60A73F" w14:textId="71EEDFA3">
      <w:pPr>
        <w:pStyle w:val="Textkrper"/>
        <w:tabs>
          <w:tab w:val="left" w:pos="567"/>
          <w:tab w:val="left" w:pos="10773"/>
        </w:tabs>
        <w:ind w:left="-567" w:right="-568"/>
        <w:jc w:val="center"/>
        <w:rPr>
          <w:rFonts w:ascii="Helvetica neue" w:hAnsi="Helvetica neue" w:cstheme="minorHAnsi"/>
          <w:b/>
          <w:bCs/>
          <w:color w:val="AED738"/>
          <w:sz w:val="40"/>
          <w:szCs w:val="36"/>
          <w:lang w:val="hr-HR"/>
        </w:rPr>
      </w:pPr>
      <w:r w:rsidRPr="005C5E09">
        <w:rPr>
          <w:rFonts w:ascii="Helvetica neue" w:hAnsi="Helvetica neue" w:cstheme="minorHAnsi"/>
          <w:b/>
          <w:bCs/>
          <w:color w:val="AED738"/>
          <w:sz w:val="40"/>
          <w:szCs w:val="36"/>
          <w:lang w:val="hr-HR"/>
        </w:rPr>
        <w:t xml:space="preserve">Gmail: </w:t>
      </w:r>
      <w:r w:rsidRPr="005C5E09" w:rsidR="005C5E09">
        <w:rPr>
          <w:rFonts w:ascii="Helvetica neue" w:hAnsi="Helvetica neue" w:cstheme="minorHAnsi"/>
          <w:b/>
          <w:bCs/>
          <w:color w:val="AED738"/>
          <w:sz w:val="40"/>
          <w:szCs w:val="36"/>
          <w:lang w:val="hr-HR"/>
        </w:rPr>
        <w:t>Od iskre koja je dovela do proizvoda vrijednog milijardu dolara</w:t>
      </w:r>
    </w:p>
    <w:p w:rsidRPr="00E663D6"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723E0C"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723E0C" w:rsidR="00367762" w:rsidP="005C5E09" w:rsidRDefault="00367762" w14:paraId="727B59D1" w14:textId="10618BAE">
            <w:pPr>
              <w:rPr>
                <w:rFonts w:ascii="Helvetica neue" w:hAnsi="Helvetica neue" w:cstheme="minorHAnsi"/>
                <w:b/>
                <w:bCs/>
                <w:color w:val="FFFFFF" w:themeColor="background1"/>
                <w:lang w:val="hr-HR"/>
              </w:rPr>
            </w:pPr>
            <w:r w:rsidRPr="00723E0C">
              <w:rPr>
                <w:rFonts w:ascii="Helvetica neue" w:hAnsi="Helvetica neue" w:cstheme="minorHAnsi"/>
                <w:b/>
                <w:bCs/>
                <w:color w:val="FFFFFF" w:themeColor="background1"/>
                <w:lang w:val="hr-HR" w:eastAsia="en-GB"/>
              </w:rPr>
              <w:t>K</w:t>
            </w:r>
            <w:r w:rsidRPr="00723E0C" w:rsidR="005C5E09">
              <w:rPr>
                <w:rFonts w:ascii="Helvetica neue" w:hAnsi="Helvetica neue" w:cstheme="minorHAnsi"/>
                <w:b/>
                <w:bCs/>
                <w:color w:val="FFFFFF" w:themeColor="background1"/>
                <w:lang w:val="hr-HR" w:eastAsia="en-GB"/>
              </w:rPr>
              <w:t>ljučne riječi</w:t>
            </w:r>
          </w:p>
        </w:tc>
        <w:tc>
          <w:tcPr>
            <w:tcW w:w="6642" w:type="dxa"/>
            <w:shd w:val="clear" w:color="auto" w:fill="FFFFFF" w:themeFill="background1"/>
          </w:tcPr>
          <w:p w:rsidRPr="00723E0C" w:rsidR="00367762" w:rsidP="005C5E09" w:rsidRDefault="00E663D6" w14:paraId="01319779" w14:textId="4B385745">
            <w:pPr>
              <w:rPr>
                <w:rFonts w:ascii="Helvetica neue" w:hAnsi="Helvetica neue" w:cstheme="minorHAnsi"/>
                <w:lang w:val="hr-HR"/>
              </w:rPr>
            </w:pPr>
            <w:r w:rsidRPr="00723E0C">
              <w:rPr>
                <w:rFonts w:ascii="Helvetica neue" w:hAnsi="Helvetica neue" w:cstheme="minorHAnsi"/>
                <w:lang w:val="hr-HR"/>
              </w:rPr>
              <w:t>Agil</w:t>
            </w:r>
            <w:r w:rsidRPr="00723E0C" w:rsidR="005C5E09">
              <w:rPr>
                <w:rFonts w:ascii="Helvetica neue" w:hAnsi="Helvetica neue" w:cstheme="minorHAnsi"/>
                <w:lang w:val="hr-HR"/>
              </w:rPr>
              <w:t>an</w:t>
            </w:r>
            <w:r w:rsidRPr="00723E0C" w:rsidR="00F65CD8">
              <w:rPr>
                <w:rFonts w:ascii="Helvetica neue" w:hAnsi="Helvetica neue" w:cstheme="minorHAnsi"/>
                <w:lang w:val="hr-HR"/>
              </w:rPr>
              <w:t>, i</w:t>
            </w:r>
            <w:r w:rsidRPr="00723E0C">
              <w:rPr>
                <w:rFonts w:ascii="Helvetica neue" w:hAnsi="Helvetica neue" w:cstheme="minorHAnsi"/>
                <w:lang w:val="hr-HR"/>
              </w:rPr>
              <w:t>ntrap</w:t>
            </w:r>
            <w:r w:rsidRPr="00723E0C" w:rsidR="005C5E09">
              <w:rPr>
                <w:rFonts w:ascii="Helvetica neue" w:hAnsi="Helvetica neue" w:cstheme="minorHAnsi"/>
                <w:lang w:val="hr-HR"/>
              </w:rPr>
              <w:t>oduzetnik</w:t>
            </w:r>
            <w:r w:rsidRPr="00723E0C">
              <w:rPr>
                <w:rFonts w:ascii="Helvetica neue" w:hAnsi="Helvetica neue" w:cstheme="minorHAnsi"/>
                <w:lang w:val="hr-HR"/>
              </w:rPr>
              <w:t xml:space="preserve">, </w:t>
            </w:r>
            <w:r w:rsidRPr="00723E0C" w:rsidR="00F65CD8">
              <w:rPr>
                <w:rFonts w:ascii="Helvetica neue" w:hAnsi="Helvetica neue" w:cstheme="minorHAnsi"/>
                <w:lang w:val="hr-HR"/>
              </w:rPr>
              <w:t>upravljanje resursima, u</w:t>
            </w:r>
            <w:r w:rsidRPr="00723E0C" w:rsidR="005C5E09">
              <w:rPr>
                <w:rFonts w:ascii="Helvetica neue" w:hAnsi="Helvetica neue" w:cstheme="minorHAnsi"/>
                <w:lang w:val="hr-HR"/>
              </w:rPr>
              <w:t>pravljanje poduzetništvom unutar organizacije</w:t>
            </w:r>
          </w:p>
        </w:tc>
      </w:tr>
      <w:tr w:rsidRPr="00723E0C"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723E0C" w:rsidR="00367762" w:rsidP="005C5E09" w:rsidRDefault="0051620C" w14:paraId="3D5C6F61" w14:textId="37E68C28">
            <w:pPr>
              <w:rPr>
                <w:rFonts w:ascii="Helvetica neue" w:hAnsi="Helvetica neue" w:cstheme="minorHAnsi"/>
                <w:b/>
                <w:bCs/>
                <w:color w:val="FFFFFF" w:themeColor="background1"/>
                <w:lang w:val="hr-HR" w:eastAsia="en-GB"/>
              </w:rPr>
            </w:pPr>
            <w:r w:rsidRPr="00723E0C">
              <w:rPr>
                <w:rFonts w:ascii="Helvetica neue" w:hAnsi="Helvetica neue" w:cstheme="minorHAnsi"/>
                <w:b/>
                <w:bCs/>
                <w:color w:val="FFFFFF" w:themeColor="background1"/>
                <w:lang w:val="hr-HR" w:eastAsia="en-GB"/>
              </w:rPr>
              <w:t>Pr</w:t>
            </w:r>
            <w:r w:rsidRPr="00723E0C" w:rsidR="005C5E09">
              <w:rPr>
                <w:rFonts w:ascii="Helvetica neue" w:hAnsi="Helvetica neue" w:cstheme="minorHAnsi"/>
                <w:b/>
                <w:bCs/>
                <w:color w:val="FFFFFF" w:themeColor="background1"/>
                <w:lang w:val="hr-HR" w:eastAsia="en-GB"/>
              </w:rPr>
              <w:t>ipremio</w:t>
            </w:r>
          </w:p>
        </w:tc>
        <w:tc>
          <w:tcPr>
            <w:tcW w:w="6642" w:type="dxa"/>
            <w:shd w:val="clear" w:color="auto" w:fill="FFFFFF" w:themeFill="background1"/>
          </w:tcPr>
          <w:p w:rsidRPr="00723E0C" w:rsidR="00367762" w:rsidP="00E92B44" w:rsidRDefault="000705C1" w14:paraId="1E29AC1D" w14:textId="2F1EC735">
            <w:pPr>
              <w:rPr>
                <w:rFonts w:ascii="Helvetica neue" w:hAnsi="Helvetica neue" w:eastAsia="Calibri" w:cstheme="minorHAnsi"/>
                <w:lang w:val="en-GB"/>
              </w:rPr>
            </w:pPr>
            <w:r w:rsidRPr="00723E0C">
              <w:rPr>
                <w:rFonts w:ascii="Helvetica neue" w:hAnsi="Helvetica neue" w:eastAsia="Calibri" w:cstheme="minorHAnsi"/>
                <w:lang w:val="en-GB"/>
              </w:rPr>
              <w:t>Clever Collaboration Group Europe</w:t>
            </w:r>
          </w:p>
        </w:tc>
      </w:tr>
      <w:tr w:rsidRPr="00723E0C"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723E0C" w:rsidR="00367762" w:rsidP="005C5E09" w:rsidRDefault="005C5E09" w14:paraId="242772F7" w14:textId="66BAC4FA">
            <w:pPr>
              <w:rPr>
                <w:rFonts w:ascii="Helvetica neue" w:hAnsi="Helvetica neue" w:cstheme="minorHAnsi"/>
                <w:b/>
                <w:bCs/>
                <w:color w:val="FFFFFF" w:themeColor="background1"/>
                <w:lang w:val="hr-HR" w:eastAsia="en-GB"/>
              </w:rPr>
            </w:pPr>
            <w:r w:rsidRPr="00723E0C">
              <w:rPr>
                <w:rFonts w:ascii="Helvetica neue" w:hAnsi="Helvetica neue" w:cstheme="minorHAnsi"/>
                <w:b/>
                <w:bCs/>
                <w:color w:val="FFFFFF" w:themeColor="background1"/>
                <w:lang w:val="hr-HR" w:eastAsia="en-GB"/>
              </w:rPr>
              <w:t>Jezik</w:t>
            </w:r>
          </w:p>
        </w:tc>
        <w:tc>
          <w:tcPr>
            <w:tcW w:w="6642" w:type="dxa"/>
            <w:shd w:val="clear" w:color="auto" w:fill="FFFFFF" w:themeFill="background1"/>
          </w:tcPr>
          <w:p w:rsidRPr="00723E0C" w:rsidR="00367762" w:rsidP="005C5E09" w:rsidRDefault="000D6D66" w14:paraId="18723BA9" w14:textId="1D153FD5">
            <w:pPr>
              <w:rPr>
                <w:rFonts w:ascii="Helvetica neue" w:hAnsi="Helvetica neue" w:eastAsia="Calibri" w:cstheme="minorHAnsi"/>
                <w:lang w:val="hr-HR"/>
              </w:rPr>
            </w:pPr>
            <w:r w:rsidRPr="00723E0C">
              <w:rPr>
                <w:rFonts w:ascii="Helvetica neue" w:hAnsi="Helvetica neue" w:eastAsia="Calibri" w:cstheme="minorHAnsi"/>
                <w:lang w:val="hr-HR"/>
              </w:rPr>
              <w:t>Hrvatski</w:t>
            </w:r>
          </w:p>
        </w:tc>
      </w:tr>
      <w:tr w:rsidRPr="00723E0C"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723E0C" w:rsidR="0051620C" w:rsidP="005C5E09" w:rsidRDefault="005C5E09" w14:paraId="6142E15C" w14:textId="0543402D">
            <w:pPr>
              <w:jc w:val="both"/>
              <w:textAlignment w:val="baseline"/>
              <w:rPr>
                <w:rFonts w:ascii="Helvetica neue" w:hAnsi="Helvetica neue" w:cstheme="minorHAnsi"/>
                <w:b/>
                <w:bCs/>
                <w:lang w:val="hr-HR" w:eastAsia="en-GB"/>
              </w:rPr>
            </w:pPr>
            <w:r w:rsidRPr="00723E0C">
              <w:rPr>
                <w:rFonts w:ascii="Helvetica neue" w:hAnsi="Helvetica neue" w:cstheme="minorHAnsi"/>
                <w:b/>
                <w:bCs/>
                <w:color w:val="FFFFFF" w:themeColor="background1"/>
                <w:lang w:val="hr-HR" w:eastAsia="en-GB"/>
              </w:rPr>
              <w:t>Studija slučaja</w:t>
            </w:r>
          </w:p>
        </w:tc>
      </w:tr>
      <w:tr w:rsidRPr="00723E0C"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723E0C" w:rsidR="00E663D6" w:rsidP="00E663D6" w:rsidRDefault="00732605" w14:paraId="7A8EA3AE" w14:textId="380C7456">
            <w:pPr>
              <w:pStyle w:val="Listenabsatz"/>
              <w:rPr>
                <w:rFonts w:ascii="Helvetica neue" w:hAnsi="Helvetica neue" w:cstheme="minorHAnsi"/>
                <w:lang w:val="hr-HR" w:eastAsia="en-GB"/>
              </w:rPr>
            </w:pPr>
            <w:r w:rsidRPr="00723E0C">
              <w:rPr>
                <w:rFonts w:ascii="Helvetica neue" w:hAnsi="Helvetica neue" w:cstheme="minorHAnsi"/>
                <w:lang w:val="hr-HR" w:eastAsia="en-GB"/>
              </w:rPr>
              <w:t xml:space="preserve">Srce Googleovog poslovanja je inovacija. Njihova poznata politika od 20 </w:t>
            </w:r>
            <w:r w:rsidRPr="00723E0C" w:rsidR="00F64911">
              <w:rPr>
                <w:rFonts w:ascii="Helvetica neue" w:hAnsi="Helvetica neue" w:cstheme="minorHAnsi"/>
                <w:lang w:val="hr-HR" w:eastAsia="en-GB"/>
              </w:rPr>
              <w:t>%</w:t>
            </w:r>
            <w:r w:rsidRPr="00723E0C">
              <w:rPr>
                <w:rFonts w:ascii="Helvetica neue" w:hAnsi="Helvetica neue" w:cstheme="minorHAnsi"/>
                <w:lang w:val="hr-HR" w:eastAsia="en-GB"/>
              </w:rPr>
              <w:t xml:space="preserve"> radnog vremena, koja zaposlenicima dopušta da otprilike jedan dan tjedno posvete inicijativama izvan područj</w:t>
            </w:r>
            <w:r w:rsidRPr="00723E0C" w:rsidR="0023461C">
              <w:rPr>
                <w:rFonts w:ascii="Helvetica neue" w:hAnsi="Helvetica neue" w:cstheme="minorHAnsi"/>
                <w:lang w:val="hr-HR" w:eastAsia="en-GB"/>
              </w:rPr>
              <w:t>a njihove odgovornosti, značajno</w:t>
            </w:r>
            <w:r w:rsidRPr="00723E0C">
              <w:rPr>
                <w:rFonts w:ascii="Helvetica neue" w:hAnsi="Helvetica neue" w:cstheme="minorHAnsi"/>
                <w:lang w:val="hr-HR" w:eastAsia="en-GB"/>
              </w:rPr>
              <w:t xml:space="preserve"> je </w:t>
            </w:r>
            <w:r w:rsidRPr="00723E0C" w:rsidR="0023461C">
              <w:rPr>
                <w:rFonts w:ascii="Helvetica neue" w:hAnsi="Helvetica neue" w:cstheme="minorHAnsi"/>
                <w:lang w:val="hr-HR" w:eastAsia="en-GB"/>
              </w:rPr>
              <w:t>obilježje</w:t>
            </w:r>
            <w:r w:rsidRPr="00723E0C">
              <w:rPr>
                <w:rFonts w:ascii="Helvetica neue" w:hAnsi="Helvetica neue" w:cstheme="minorHAnsi"/>
                <w:lang w:val="hr-HR" w:eastAsia="en-GB"/>
              </w:rPr>
              <w:t xml:space="preserve"> Googleovog kreativnog radnog okruženja. Čineći to, Google nadahnjuje svoje osoblje da djeluju kao intrapoduzetnici i razmišljaju kreativno. Većinu vremena Googleovi zaposlenici koji rade na 20</w:t>
            </w:r>
            <w:r w:rsidRPr="00723E0C" w:rsidR="00F64911">
              <w:rPr>
                <w:rFonts w:ascii="Helvetica neue" w:hAnsi="Helvetica neue" w:cstheme="minorHAnsi"/>
                <w:lang w:val="hr-HR" w:eastAsia="en-GB"/>
              </w:rPr>
              <w:t xml:space="preserve"> % </w:t>
            </w:r>
            <w:r w:rsidRPr="00723E0C">
              <w:rPr>
                <w:rFonts w:ascii="Helvetica neue" w:hAnsi="Helvetica neue" w:cstheme="minorHAnsi"/>
                <w:lang w:val="hr-HR" w:eastAsia="en-GB"/>
              </w:rPr>
              <w:t>projekata udružuju se s drugima kako bi pokrenuli interni start-up.</w:t>
            </w:r>
          </w:p>
          <w:p w:rsidRPr="00723E0C" w:rsidR="00E663D6" w:rsidP="00E663D6" w:rsidRDefault="00E663D6" w14:paraId="4D2A51E8" w14:textId="77777777">
            <w:pPr>
              <w:pStyle w:val="Listenabsatz"/>
              <w:rPr>
                <w:rFonts w:ascii="Helvetica neue" w:hAnsi="Helvetica neue" w:cstheme="minorHAnsi"/>
                <w:lang w:val="hr-HR" w:eastAsia="en-GB"/>
              </w:rPr>
            </w:pPr>
          </w:p>
          <w:p w:rsidRPr="00723E0C" w:rsidR="00E663D6" w:rsidP="00E663D6" w:rsidRDefault="00EC3745" w14:paraId="6B950952" w14:textId="550CEC24">
            <w:pPr>
              <w:pStyle w:val="Listenabsatz"/>
              <w:rPr>
                <w:rFonts w:ascii="Helvetica neue" w:hAnsi="Helvetica neue" w:cstheme="minorHAnsi"/>
                <w:lang w:val="hr-HR" w:eastAsia="en-GB"/>
              </w:rPr>
            </w:pPr>
            <w:r w:rsidRPr="00723E0C">
              <w:rPr>
                <w:rFonts w:ascii="Helvetica neue" w:hAnsi="Helvetica neue" w:cstheme="minorHAnsi"/>
                <w:lang w:val="hr-HR" w:eastAsia="en-GB"/>
              </w:rPr>
              <w:t>Gmail je jedan od najpoznatijih i najučinkovitijih primjera ove strategije. Paul Buchheit, Googleov zaposlenik, imao je početnu ideju proširiti ponudu tvrtke stvaranjem internetske e-pošte koja bi mogla služiti i kao tražilica.</w:t>
            </w:r>
          </w:p>
          <w:p w:rsidRPr="00723E0C" w:rsidR="00E663D6" w:rsidP="00E663D6" w:rsidRDefault="00E663D6" w14:paraId="4F937909" w14:textId="77777777">
            <w:pPr>
              <w:pStyle w:val="Listenabsatz"/>
              <w:rPr>
                <w:rFonts w:ascii="Helvetica neue" w:hAnsi="Helvetica neue" w:cstheme="minorHAnsi"/>
                <w:lang w:val="hr-HR" w:eastAsia="en-GB"/>
              </w:rPr>
            </w:pPr>
          </w:p>
          <w:p w:rsidRPr="00723E0C" w:rsidR="00E663D6" w:rsidP="00E663D6" w:rsidRDefault="00846A89" w14:paraId="67973DFC" w14:textId="6466DAE3">
            <w:pPr>
              <w:pStyle w:val="Listenabsatz"/>
              <w:rPr>
                <w:rFonts w:ascii="Helvetica neue" w:hAnsi="Helvetica neue" w:cstheme="minorHAnsi"/>
                <w:lang w:val="hr-HR" w:eastAsia="en-GB"/>
              </w:rPr>
            </w:pPr>
            <w:r w:rsidRPr="00723E0C">
              <w:rPr>
                <w:rFonts w:ascii="Helvetica neue" w:hAnsi="Helvetica neue" w:cstheme="minorHAnsi"/>
                <w:lang w:val="hr-HR" w:eastAsia="en-GB"/>
              </w:rPr>
              <w:t xml:space="preserve">Većina je </w:t>
            </w:r>
            <w:r w:rsidRPr="00723E0C" w:rsidR="00F67B75">
              <w:rPr>
                <w:rFonts w:ascii="Helvetica neue" w:hAnsi="Helvetica neue" w:cstheme="minorHAnsi"/>
                <w:lang w:val="hr-HR" w:eastAsia="en-GB"/>
              </w:rPr>
              <w:t>zaposlenika u organizaciji vjerovala da je to</w:t>
            </w:r>
            <w:r w:rsidRPr="00723E0C" w:rsidR="00854F88">
              <w:rPr>
                <w:rFonts w:ascii="Helvetica neue" w:hAnsi="Helvetica neue" w:cstheme="minorHAnsi"/>
                <w:lang w:val="hr-HR" w:eastAsia="en-GB"/>
              </w:rPr>
              <w:t>,</w:t>
            </w:r>
            <w:r w:rsidRPr="00723E0C" w:rsidR="00F67B75">
              <w:rPr>
                <w:rFonts w:ascii="Helvetica neue" w:hAnsi="Helvetica neue" w:cstheme="minorHAnsi"/>
                <w:lang w:val="hr-HR" w:eastAsia="en-GB"/>
              </w:rPr>
              <w:t xml:space="preserve"> sa strateškog i proizvodnog stajališta</w:t>
            </w:r>
            <w:r w:rsidRPr="00723E0C" w:rsidR="00854F88">
              <w:rPr>
                <w:rFonts w:ascii="Helvetica neue" w:hAnsi="Helvetica neue" w:cstheme="minorHAnsi"/>
                <w:lang w:val="hr-HR" w:eastAsia="en-GB"/>
              </w:rPr>
              <w:t>,</w:t>
            </w:r>
            <w:r w:rsidRPr="00723E0C" w:rsidR="00F67B75">
              <w:rPr>
                <w:rFonts w:ascii="Helvetica neue" w:hAnsi="Helvetica neue" w:cstheme="minorHAnsi"/>
                <w:lang w:val="hr-HR" w:eastAsia="en-GB"/>
              </w:rPr>
              <w:t xml:space="preserve"> užasna ideja. Međutim, kada su Googleovi suosnivači Larry Page i Sergey Brin donijeli odluku da sponzoriraju Paulovu inicijativu, sve su brige prestale.</w:t>
            </w:r>
          </w:p>
          <w:p w:rsidRPr="00723E0C" w:rsidR="00E663D6" w:rsidP="00E663D6" w:rsidRDefault="00E663D6" w14:paraId="3031E615" w14:textId="77777777">
            <w:pPr>
              <w:pStyle w:val="Listenabsatz"/>
              <w:rPr>
                <w:rFonts w:ascii="Helvetica neue" w:hAnsi="Helvetica neue" w:cstheme="minorHAnsi"/>
                <w:lang w:val="en-US" w:eastAsia="en-GB"/>
              </w:rPr>
            </w:pPr>
          </w:p>
          <w:p w:rsidRPr="00723E0C" w:rsidR="00E663D6" w:rsidP="00E663D6" w:rsidRDefault="003555F0" w14:paraId="05547EF0" w14:textId="1F021A7A">
            <w:pPr>
              <w:pStyle w:val="Listenabsatz"/>
              <w:rPr>
                <w:rFonts w:ascii="Helvetica neue" w:hAnsi="Helvetica neue" w:cstheme="minorHAnsi"/>
                <w:lang w:val="hr-HR" w:eastAsia="en-GB"/>
              </w:rPr>
            </w:pPr>
            <w:r w:rsidRPr="00723E0C">
              <w:rPr>
                <w:rFonts w:ascii="Helvetica neue" w:hAnsi="Helvetica neue" w:cstheme="minorHAnsi"/>
                <w:lang w:val="hr-HR" w:eastAsia="en-GB"/>
              </w:rPr>
              <w:t>Zbog toga je Googleov Gmail predstavljen 2004. te je brzo postao prva kultna ponuda tvrtke od pokretanja usluge tražilice 1998. godine. Više od 1,5 milijardi korisnika trenutno koristi Gmail na dnevnoj bazi. Od malog internog eksperimenta prerastao je u jednu od temeljnih usluga Googleove linije proizvoda.</w:t>
            </w:r>
          </w:p>
          <w:p w:rsidRPr="00723E0C" w:rsidR="00E663D6" w:rsidP="00E663D6" w:rsidRDefault="00E663D6" w14:paraId="15965F5C" w14:textId="77777777">
            <w:pPr>
              <w:pStyle w:val="Listenabsatz"/>
              <w:rPr>
                <w:rFonts w:ascii="Helvetica neue" w:hAnsi="Helvetica neue" w:cstheme="minorHAnsi"/>
                <w:lang w:val="hr-HR" w:eastAsia="en-GB"/>
              </w:rPr>
            </w:pPr>
          </w:p>
          <w:p w:rsidRPr="00723E0C" w:rsidR="0051620C" w:rsidP="00E663D6" w:rsidRDefault="000B03A4" w14:paraId="15746645" w14:textId="659EAC18">
            <w:pPr>
              <w:textAlignment w:val="baseline"/>
              <w:rPr>
                <w:rFonts w:ascii="Helvetica neue" w:hAnsi="Helvetica neue" w:cstheme="minorHAnsi"/>
                <w:b/>
                <w:bCs/>
                <w:lang w:val="hr-HR" w:eastAsia="en-GB"/>
              </w:rPr>
            </w:pPr>
            <w:r w:rsidRPr="00723E0C">
              <w:rPr>
                <w:rFonts w:ascii="Helvetica neue" w:hAnsi="Helvetica neue" w:cstheme="minorHAnsi"/>
                <w:lang w:val="hr-HR" w:eastAsia="en-GB"/>
              </w:rPr>
              <w:t>Ovo je izvrstan primjer koji pokazuje da se otvorenim umom i podržavanjem inovatora uz podršku menadžmenta mogu postići izvanredni rezultati.</w:t>
            </w:r>
          </w:p>
        </w:tc>
      </w:tr>
      <w:tr w:rsidRPr="00723E0C"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723E0C" w:rsidR="00367762" w:rsidP="005C5E09" w:rsidRDefault="005C5E09" w14:paraId="41D370F8" w14:textId="58DF6347">
            <w:pPr>
              <w:rPr>
                <w:rFonts w:ascii="Helvetica neue" w:hAnsi="Helvetica neue" w:cstheme="minorHAnsi"/>
                <w:b/>
                <w:bCs/>
                <w:color w:val="FFFFFF" w:themeColor="background1"/>
                <w:lang w:val="hr-HR" w:eastAsia="en-GB"/>
              </w:rPr>
            </w:pPr>
            <w:r w:rsidRPr="00723E0C">
              <w:rPr>
                <w:rFonts w:ascii="Helvetica neue" w:hAnsi="Helvetica neue" w:cstheme="minorHAnsi"/>
                <w:b/>
                <w:bCs/>
                <w:color w:val="FFFFFF" w:themeColor="background1"/>
                <w:lang w:val="hr-HR" w:eastAsia="en-GB"/>
              </w:rPr>
              <w:t>Poveznica</w:t>
            </w:r>
          </w:p>
        </w:tc>
        <w:tc>
          <w:tcPr>
            <w:tcW w:w="6642" w:type="dxa"/>
            <w:tcBorders>
              <w:top w:val="single" w:color="4D94B7" w:sz="4" w:space="0"/>
            </w:tcBorders>
            <w:shd w:val="clear" w:color="auto" w:fill="FFFFFF" w:themeFill="background1"/>
          </w:tcPr>
          <w:p w:rsidRPr="00723E0C" w:rsidR="00E663D6" w:rsidP="00E663D6" w:rsidRDefault="00000000" w14:paraId="67A1AE46" w14:textId="1D4DB370">
            <w:pPr>
              <w:textAlignment w:val="baseline"/>
              <w:rPr>
                <w:rFonts w:ascii="Helvetica neue" w:hAnsi="Helvetica neue" w:cstheme="minorHAnsi"/>
                <w:lang w:val="en-US" w:eastAsia="en-GB"/>
              </w:rPr>
            </w:pPr>
            <w:hyperlink w:history="1" r:id="rId7">
              <w:r w:rsidRPr="00723E0C" w:rsidR="00E663D6">
                <w:rPr>
                  <w:rStyle w:val="Hyperlink"/>
                  <w:rFonts w:ascii="Helvetica neue" w:hAnsi="Helvetica neue" w:cstheme="minorHAnsi"/>
                  <w:lang w:val="en-US" w:eastAsia="en-GB"/>
                </w:rPr>
                <w:t>https://gaussianco.com/insights/how-intrapreneurship-accelerates-organizations-case-studies</w:t>
              </w:r>
            </w:hyperlink>
          </w:p>
        </w:tc>
      </w:tr>
    </w:tbl>
    <w:p w:rsidRPr="00E663D6" w:rsidR="00C50C34" w:rsidP="00493C66" w:rsidRDefault="00C50C34" w14:paraId="4A8E8A78" w14:textId="77777777">
      <w:pPr>
        <w:rPr>
          <w:rFonts w:ascii="Helvetica neue" w:hAnsi="Helvetica neue" w:eastAsia="Calibri"/>
        </w:rPr>
      </w:pPr>
    </w:p>
    <w:sectPr w:rsidRPr="00E663D6" w:rsidR="00C50C34"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D23" w:rsidP="00B77D0D" w:rsidRDefault="00913D23" w14:paraId="2857B6A8" w14:textId="77777777">
      <w:r>
        <w:separator/>
      </w:r>
    </w:p>
  </w:endnote>
  <w:endnote w:type="continuationSeparator" w:id="0">
    <w:p w:rsidR="00913D23" w:rsidP="00B77D0D" w:rsidRDefault="00913D23" w14:paraId="550A31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7B73E509" w14:paraId="67534BAE" w14:textId="77777777">
      <w:tc>
        <w:tcPr>
          <w:tcW w:w="3180" w:type="dxa"/>
          <w:tcMar/>
        </w:tcPr>
        <w:p w:rsidRPr="00403D96" w:rsidR="00403D96" w:rsidP="00403D96" w:rsidRDefault="00403D96" w14:paraId="223DE6AB" w14:textId="5EBA27ED">
          <w:pPr>
            <w:pStyle w:val="Fuzeile"/>
          </w:pPr>
          <w:r w:rsidR="7B73E509">
            <w:drawing>
              <wp:inline wp14:editId="296137C2" wp14:anchorId="6456F4DB">
                <wp:extent cx="1885950" cy="400050"/>
                <wp:effectExtent l="0" t="0" r="0" b="0"/>
                <wp:docPr id="1673302308" name="" title=""/>
                <wp:cNvGraphicFramePr>
                  <a:graphicFrameLocks noChangeAspect="1"/>
                </wp:cNvGraphicFramePr>
                <a:graphic>
                  <a:graphicData uri="http://schemas.openxmlformats.org/drawingml/2006/picture">
                    <pic:pic>
                      <pic:nvPicPr>
                        <pic:cNvPr id="0" name=""/>
                        <pic:cNvPicPr/>
                      </pic:nvPicPr>
                      <pic:blipFill>
                        <a:blip r:embed="Rcc74f807eaa14070">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7B73E509" w:rsidRDefault="00403D96" w14:paraId="056A3FFF" w14:textId="62700870">
          <w:pPr>
            <w:pStyle w:val="Fuzeile"/>
            <w:widowControl w:val="0"/>
            <w:tabs>
              <w:tab w:val="center" w:leader="none" w:pos="4252"/>
              <w:tab w:val="right" w:leader="none" w:pos="8504"/>
            </w:tabs>
            <w:rPr>
              <w:sz w:val="16"/>
              <w:szCs w:val="16"/>
            </w:rPr>
          </w:pPr>
          <w:r w:rsidRPr="7B73E509" w:rsidR="7B73E509">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40F7958A">
          <w:pPr>
            <w:pStyle w:val="Fuzeile"/>
          </w:pPr>
          <w:r w:rsidR="7B73E509">
            <w:drawing>
              <wp:inline wp14:editId="797CD398" wp14:anchorId="34B47337">
                <wp:extent cx="1009650" cy="352425"/>
                <wp:effectExtent l="0" t="0" r="0" b="0"/>
                <wp:docPr id="2018356170" name="" title=""/>
                <wp:cNvGraphicFramePr>
                  <a:graphicFrameLocks noChangeAspect="1"/>
                </wp:cNvGraphicFramePr>
                <a:graphic>
                  <a:graphicData uri="http://schemas.openxmlformats.org/drawingml/2006/picture">
                    <pic:pic>
                      <pic:nvPicPr>
                        <pic:cNvPr id="0" name=""/>
                        <pic:cNvPicPr/>
                      </pic:nvPicPr>
                      <pic:blipFill>
                        <a:blip r:embed="R76f5acc331ed4c6c">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D23" w:rsidP="00B77D0D" w:rsidRDefault="00913D23" w14:paraId="3AC4921F" w14:textId="77777777">
      <w:r>
        <w:separator/>
      </w:r>
    </w:p>
  </w:footnote>
  <w:footnote w:type="continuationSeparator" w:id="0">
    <w:p w:rsidR="00913D23" w:rsidP="00B77D0D" w:rsidRDefault="00913D23" w14:paraId="3A60E7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2187105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183357">
    <w:abstractNumId w:val="24"/>
  </w:num>
  <w:num w:numId="3" w16cid:durableId="883176221">
    <w:abstractNumId w:val="9"/>
  </w:num>
  <w:num w:numId="4" w16cid:durableId="404422727">
    <w:abstractNumId w:val="15"/>
  </w:num>
  <w:num w:numId="5" w16cid:durableId="2064132670">
    <w:abstractNumId w:val="7"/>
  </w:num>
  <w:num w:numId="6" w16cid:durableId="1270507021">
    <w:abstractNumId w:val="23"/>
  </w:num>
  <w:num w:numId="7" w16cid:durableId="1967008850">
    <w:abstractNumId w:val="14"/>
  </w:num>
  <w:num w:numId="8" w16cid:durableId="1971741345">
    <w:abstractNumId w:val="13"/>
  </w:num>
  <w:num w:numId="9" w16cid:durableId="120616364">
    <w:abstractNumId w:val="17"/>
  </w:num>
  <w:num w:numId="10" w16cid:durableId="1712071797">
    <w:abstractNumId w:val="12"/>
  </w:num>
  <w:num w:numId="11" w16cid:durableId="643391913">
    <w:abstractNumId w:val="6"/>
  </w:num>
  <w:num w:numId="12" w16cid:durableId="844441729">
    <w:abstractNumId w:val="8"/>
  </w:num>
  <w:num w:numId="13" w16cid:durableId="551625382">
    <w:abstractNumId w:val="21"/>
  </w:num>
  <w:num w:numId="14" w16cid:durableId="1564684402">
    <w:abstractNumId w:val="25"/>
  </w:num>
  <w:num w:numId="15" w16cid:durableId="840314762">
    <w:abstractNumId w:val="16"/>
  </w:num>
  <w:num w:numId="16" w16cid:durableId="2133399964">
    <w:abstractNumId w:val="1"/>
  </w:num>
  <w:num w:numId="17" w16cid:durableId="36703663">
    <w:abstractNumId w:val="22"/>
  </w:num>
  <w:num w:numId="18" w16cid:durableId="1129859560">
    <w:abstractNumId w:val="26"/>
  </w:num>
  <w:num w:numId="19" w16cid:durableId="1590968158">
    <w:abstractNumId w:val="2"/>
  </w:num>
  <w:num w:numId="20" w16cid:durableId="337928554">
    <w:abstractNumId w:val="19"/>
  </w:num>
  <w:num w:numId="21" w16cid:durableId="1956519942">
    <w:abstractNumId w:val="20"/>
  </w:num>
  <w:num w:numId="22" w16cid:durableId="710811266">
    <w:abstractNumId w:val="5"/>
  </w:num>
  <w:num w:numId="23" w16cid:durableId="1733116965">
    <w:abstractNumId w:val="18"/>
  </w:num>
  <w:num w:numId="24" w16cid:durableId="405340816">
    <w:abstractNumId w:val="11"/>
  </w:num>
  <w:num w:numId="25" w16cid:durableId="219948413">
    <w:abstractNumId w:val="3"/>
  </w:num>
  <w:num w:numId="26" w16cid:durableId="1784230330">
    <w:abstractNumId w:val="0"/>
  </w:num>
  <w:num w:numId="27" w16cid:durableId="696781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D6"/>
    <w:rsid w:val="00030014"/>
    <w:rsid w:val="00030C5A"/>
    <w:rsid w:val="00032AE2"/>
    <w:rsid w:val="000705C1"/>
    <w:rsid w:val="000A3304"/>
    <w:rsid w:val="000A7CAD"/>
    <w:rsid w:val="000B03A4"/>
    <w:rsid w:val="000C4D72"/>
    <w:rsid w:val="000D6D66"/>
    <w:rsid w:val="000F6C3F"/>
    <w:rsid w:val="00132DD8"/>
    <w:rsid w:val="001B5666"/>
    <w:rsid w:val="001C0B43"/>
    <w:rsid w:val="001D1444"/>
    <w:rsid w:val="00233984"/>
    <w:rsid w:val="0023461C"/>
    <w:rsid w:val="002423FF"/>
    <w:rsid w:val="00250F8E"/>
    <w:rsid w:val="00273BB9"/>
    <w:rsid w:val="00274B14"/>
    <w:rsid w:val="00276525"/>
    <w:rsid w:val="00285C63"/>
    <w:rsid w:val="002D275E"/>
    <w:rsid w:val="003441DD"/>
    <w:rsid w:val="003555F0"/>
    <w:rsid w:val="00367762"/>
    <w:rsid w:val="0037488C"/>
    <w:rsid w:val="003C112E"/>
    <w:rsid w:val="003C16FF"/>
    <w:rsid w:val="003D13EC"/>
    <w:rsid w:val="00403D96"/>
    <w:rsid w:val="00404410"/>
    <w:rsid w:val="004369A0"/>
    <w:rsid w:val="00467D9D"/>
    <w:rsid w:val="00493C66"/>
    <w:rsid w:val="004B10DB"/>
    <w:rsid w:val="004C4FAF"/>
    <w:rsid w:val="004D0823"/>
    <w:rsid w:val="004E03FB"/>
    <w:rsid w:val="004F3F08"/>
    <w:rsid w:val="0051401B"/>
    <w:rsid w:val="0051620C"/>
    <w:rsid w:val="005248A4"/>
    <w:rsid w:val="00536144"/>
    <w:rsid w:val="0055064D"/>
    <w:rsid w:val="005C5E09"/>
    <w:rsid w:val="00612469"/>
    <w:rsid w:val="00617ADA"/>
    <w:rsid w:val="006236AC"/>
    <w:rsid w:val="00624146"/>
    <w:rsid w:val="006279B0"/>
    <w:rsid w:val="0066250A"/>
    <w:rsid w:val="006B4332"/>
    <w:rsid w:val="006C06AD"/>
    <w:rsid w:val="007117B3"/>
    <w:rsid w:val="00723E0C"/>
    <w:rsid w:val="00732605"/>
    <w:rsid w:val="00765448"/>
    <w:rsid w:val="00771889"/>
    <w:rsid w:val="007E413D"/>
    <w:rsid w:val="007E6542"/>
    <w:rsid w:val="008276F3"/>
    <w:rsid w:val="00846A89"/>
    <w:rsid w:val="0085205A"/>
    <w:rsid w:val="00853A2D"/>
    <w:rsid w:val="00854F88"/>
    <w:rsid w:val="00857167"/>
    <w:rsid w:val="00874368"/>
    <w:rsid w:val="00884B7D"/>
    <w:rsid w:val="008E08F1"/>
    <w:rsid w:val="00913D23"/>
    <w:rsid w:val="009248D3"/>
    <w:rsid w:val="009352BE"/>
    <w:rsid w:val="009750CD"/>
    <w:rsid w:val="009843CB"/>
    <w:rsid w:val="00986C6F"/>
    <w:rsid w:val="00995169"/>
    <w:rsid w:val="009A443E"/>
    <w:rsid w:val="009F0523"/>
    <w:rsid w:val="00A07DCC"/>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50C34"/>
    <w:rsid w:val="00C8382D"/>
    <w:rsid w:val="00C97ACD"/>
    <w:rsid w:val="00D629E0"/>
    <w:rsid w:val="00D70A82"/>
    <w:rsid w:val="00D91A91"/>
    <w:rsid w:val="00D9641D"/>
    <w:rsid w:val="00DE0467"/>
    <w:rsid w:val="00DE5112"/>
    <w:rsid w:val="00E01E50"/>
    <w:rsid w:val="00E53DD1"/>
    <w:rsid w:val="00E663D6"/>
    <w:rsid w:val="00E66F38"/>
    <w:rsid w:val="00E820E9"/>
    <w:rsid w:val="00E87C3B"/>
    <w:rsid w:val="00E92B44"/>
    <w:rsid w:val="00E9552B"/>
    <w:rsid w:val="00EB1C88"/>
    <w:rsid w:val="00EB76C6"/>
    <w:rsid w:val="00EC3745"/>
    <w:rsid w:val="00EC4321"/>
    <w:rsid w:val="00EE173C"/>
    <w:rsid w:val="00EE796A"/>
    <w:rsid w:val="00EF4FFE"/>
    <w:rsid w:val="00F051B8"/>
    <w:rsid w:val="00F15809"/>
    <w:rsid w:val="00F6298B"/>
    <w:rsid w:val="00F64911"/>
    <w:rsid w:val="00F65CD8"/>
    <w:rsid w:val="00F67B75"/>
    <w:rsid w:val="00F74502"/>
    <w:rsid w:val="00F833F4"/>
    <w:rsid w:val="00F85D2D"/>
    <w:rsid w:val="00F93275"/>
    <w:rsid w:val="00F94C13"/>
    <w:rsid w:val="00FA7D90"/>
    <w:rsid w:val="00FD1657"/>
    <w:rsid w:val="00FE6704"/>
    <w:rsid w:val="00FF4C78"/>
    <w:rsid w:val="00FF7BD6"/>
    <w:rsid w:val="19432672"/>
    <w:rsid w:val="28B13CCE"/>
    <w:rsid w:val="6413E525"/>
    <w:rsid w:val="7B73E509"/>
    <w:rsid w:val="7EAB8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2" w:customStyle="1">
    <w:name w:val="Nicht aufgelöste Erwähnung2"/>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gaussianco.com/insights/how-intrapreneurship-accelerates-organizations-case-studi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cc74f807eaa14070" /><Relationship Type="http://schemas.openxmlformats.org/officeDocument/2006/relationships/image" Target="/media/image4.jpg" Id="R76f5acc331ed4c6c"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59</revision>
  <lastPrinted>2022-11-25T11:56:00.0000000Z</lastPrinted>
  <dcterms:created xsi:type="dcterms:W3CDTF">2022-12-07T17:23:00.0000000Z</dcterms:created>
  <dcterms:modified xsi:type="dcterms:W3CDTF">2024-01-31T13:40:12.1501032Z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