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C4F" w:rsidRDefault="00000000" w14:paraId="1D5B5FC1" w14:textId="77777777">
      <w:pPr>
        <w:pBdr>
          <w:top w:val="nil"/>
          <w:left w:val="nil"/>
          <w:bottom w:val="nil"/>
          <w:right w:val="nil"/>
          <w:between w:val="nil"/>
        </w:pBdr>
        <w:tabs>
          <w:tab w:val="left" w:pos="567"/>
          <w:tab w:val="left" w:pos="10773"/>
        </w:tabs>
        <w:ind w:left="-709" w:right="-568"/>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Fallstudie:</w:t>
      </w:r>
    </w:p>
    <w:p w:rsidR="00754C4F" w:rsidRDefault="00000000" w14:paraId="5575341F" w14:textId="56D50C9A">
      <w:pPr>
        <w:ind w:left="567" w:hanging="425"/>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Drei chronologische Schritte zur Förderung von Intrapreneurship: Lehren aus der Wehkamp-Fallstudie</w:t>
      </w:r>
    </w:p>
    <w:p w:rsidR="002C45D2" w:rsidRDefault="002C45D2" w14:paraId="465151F4" w14:textId="77777777">
      <w:pPr>
        <w:ind w:left="567" w:hanging="425"/>
        <w:jc w:val="center"/>
        <w:rPr>
          <w:rFonts w:ascii="Helvetica neue" w:hAnsi="Helvetica neue" w:eastAsia="Helvetica neue" w:cs="Helvetica neue"/>
          <w:b/>
          <w:color w:val="4D94B7"/>
          <w:sz w:val="40"/>
          <w:szCs w:val="40"/>
        </w:rPr>
      </w:pPr>
    </w:p>
    <w:tbl>
      <w:tblPr>
        <w:tblStyle w:val="a"/>
        <w:tblW w:w="9637" w:type="dxa"/>
        <w:jc w:val="center"/>
        <w:tblInd w:w="0" w:type="dxa"/>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Look w:val="0400" w:firstRow="0" w:lastRow="0" w:firstColumn="0" w:lastColumn="0" w:noHBand="0" w:noVBand="1"/>
      </w:tblPr>
      <w:tblGrid>
        <w:gridCol w:w="3061"/>
        <w:gridCol w:w="6576"/>
      </w:tblGrid>
      <w:tr w:rsidR="00754C4F" w:rsidTr="007A19B5" w14:paraId="1EB33000" w14:textId="77777777">
        <w:trPr>
          <w:trHeight w:val="20"/>
          <w:jc w:val="center"/>
        </w:trPr>
        <w:tc>
          <w:tcPr>
            <w:tcW w:w="3061" w:type="dxa"/>
            <w:tcBorders>
              <w:left w:val="single" w:color="4D94B7" w:sz="4" w:space="0"/>
              <w:bottom w:val="single" w:color="FFFFFF" w:sz="4" w:space="0"/>
            </w:tcBorders>
            <w:shd w:val="clear" w:color="auto" w:fill="4D94B7"/>
          </w:tcPr>
          <w:p w:rsidR="00754C4F" w:rsidRDefault="00000000" w14:paraId="0C5D6E45"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Stichworte (Meta-Tags)</w:t>
            </w:r>
          </w:p>
        </w:tc>
        <w:tc>
          <w:tcPr>
            <w:tcW w:w="6576" w:type="dxa"/>
            <w:shd w:val="clear" w:color="auto" w:fill="FFFFFF"/>
          </w:tcPr>
          <w:p w:rsidR="00754C4F" w:rsidRDefault="00000000" w14:paraId="775BFAD8" w14:textId="77777777">
            <w:pPr>
              <w:rPr>
                <w:rFonts w:ascii="Helvetica neue" w:hAnsi="Helvetica neue" w:eastAsia="Helvetica neue" w:cs="Helvetica neue"/>
              </w:rPr>
            </w:pPr>
            <w:r>
              <w:rPr>
                <w:rFonts w:ascii="Helvetica neue" w:hAnsi="Helvetica neue" w:eastAsia="Helvetica neue" w:cs="Helvetica neue"/>
              </w:rPr>
              <w:t>Unternehmerisches Verhalten, innovative Unternehmenskultur, Förderung von Intrapreneurship</w:t>
            </w:r>
          </w:p>
        </w:tc>
      </w:tr>
      <w:tr w:rsidR="00754C4F" w:rsidTr="007A19B5" w14:paraId="5A5590EA" w14:textId="77777777">
        <w:trPr>
          <w:trHeight w:val="20"/>
          <w:jc w:val="center"/>
        </w:trPr>
        <w:tc>
          <w:tcPr>
            <w:tcW w:w="3061" w:type="dxa"/>
            <w:tcBorders>
              <w:top w:val="single" w:color="FFFFFF" w:sz="4" w:space="0"/>
              <w:left w:val="single" w:color="4D94B7" w:sz="4" w:space="0"/>
              <w:bottom w:val="single" w:color="FFFFFF" w:sz="4" w:space="0"/>
            </w:tcBorders>
            <w:shd w:val="clear" w:color="auto" w:fill="4D94B7"/>
          </w:tcPr>
          <w:p w:rsidR="00754C4F" w:rsidRDefault="00000000" w14:paraId="5B452978"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Zur Verfügung gestellt von</w:t>
            </w:r>
          </w:p>
        </w:tc>
        <w:tc>
          <w:tcPr>
            <w:tcW w:w="6576" w:type="dxa"/>
            <w:shd w:val="clear" w:color="auto" w:fill="FFFFFF"/>
          </w:tcPr>
          <w:p w:rsidR="00754C4F" w:rsidRDefault="00000000" w14:paraId="0754C6A6" w14:textId="77777777">
            <w:pPr>
              <w:rPr>
                <w:rFonts w:ascii="Helvetica neue" w:hAnsi="Helvetica neue" w:eastAsia="Helvetica neue" w:cs="Helvetica neue"/>
              </w:rPr>
            </w:pPr>
            <w:r>
              <w:rPr>
                <w:rFonts w:ascii="Helvetica neue" w:hAnsi="Helvetica neue" w:eastAsia="Helvetica neue" w:cs="Helvetica neue"/>
              </w:rPr>
              <w:t>d-ialogo e.K.</w:t>
            </w:r>
          </w:p>
        </w:tc>
      </w:tr>
      <w:tr w:rsidR="00754C4F" w:rsidTr="007A19B5" w14:paraId="594C4D77" w14:textId="77777777">
        <w:trPr>
          <w:trHeight w:val="20"/>
          <w:jc w:val="center"/>
        </w:trPr>
        <w:tc>
          <w:tcPr>
            <w:tcW w:w="3061" w:type="dxa"/>
            <w:tcBorders>
              <w:top w:val="single" w:color="FFFFFF" w:sz="4" w:space="0"/>
              <w:left w:val="single" w:color="4D94B7" w:sz="4" w:space="0"/>
              <w:bottom w:val="single" w:color="FFFFFF" w:sz="4" w:space="0"/>
            </w:tcBorders>
            <w:shd w:val="clear" w:color="auto" w:fill="4D94B7"/>
          </w:tcPr>
          <w:p w:rsidR="00754C4F" w:rsidRDefault="00000000" w14:paraId="1FA54D35"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Sprache</w:t>
            </w:r>
          </w:p>
        </w:tc>
        <w:tc>
          <w:tcPr>
            <w:tcW w:w="6576" w:type="dxa"/>
            <w:shd w:val="clear" w:color="auto" w:fill="FFFFFF"/>
          </w:tcPr>
          <w:p w:rsidR="00754C4F" w:rsidRDefault="00000000" w14:paraId="238FA8D2" w14:textId="77777777">
            <w:pPr>
              <w:rPr>
                <w:rFonts w:ascii="Helvetica neue" w:hAnsi="Helvetica neue" w:eastAsia="Helvetica neue" w:cs="Helvetica neue"/>
              </w:rPr>
            </w:pPr>
            <w:r>
              <w:rPr>
                <w:rFonts w:ascii="Helvetica neue" w:hAnsi="Helvetica neue" w:eastAsia="Helvetica neue" w:cs="Helvetica neue"/>
              </w:rPr>
              <w:t>Deutsch</w:t>
            </w:r>
          </w:p>
        </w:tc>
      </w:tr>
      <w:tr w:rsidR="00754C4F" w:rsidTr="007A19B5" w14:paraId="6874C643" w14:textId="77777777">
        <w:trPr>
          <w:trHeight w:val="20"/>
          <w:jc w:val="center"/>
        </w:trPr>
        <w:tc>
          <w:tcPr>
            <w:tcW w:w="9637" w:type="dxa"/>
            <w:gridSpan w:val="2"/>
            <w:tcBorders>
              <w:top w:val="single" w:color="FFFFFF" w:sz="4" w:space="0"/>
              <w:left w:val="single" w:color="4D94B7" w:sz="4" w:space="0"/>
              <w:bottom w:val="single" w:color="4D94B7" w:sz="4" w:space="0"/>
            </w:tcBorders>
            <w:shd w:val="clear" w:color="auto" w:fill="4D94B7"/>
          </w:tcPr>
          <w:p w:rsidR="00754C4F" w:rsidRDefault="00000000" w14:paraId="5F44AB84" w14:textId="77777777">
            <w:pPr>
              <w:jc w:val="both"/>
              <w:rPr>
                <w:rFonts w:ascii="Helvetica neue" w:hAnsi="Helvetica neue" w:eastAsia="Helvetica neue" w:cs="Helvetica neue"/>
                <w:b/>
              </w:rPr>
            </w:pPr>
            <w:r>
              <w:rPr>
                <w:rFonts w:ascii="Helvetica neue" w:hAnsi="Helvetica neue" w:eastAsia="Helvetica neue" w:cs="Helvetica neue"/>
                <w:b/>
                <w:color w:val="FFFFFF"/>
              </w:rPr>
              <w:t>Fallstudie</w:t>
            </w:r>
          </w:p>
        </w:tc>
      </w:tr>
      <w:tr w:rsidR="00754C4F" w:rsidTr="007A19B5" w14:paraId="30C5C364" w14:textId="77777777">
        <w:trPr>
          <w:trHeight w:val="20"/>
          <w:jc w:val="center"/>
        </w:trPr>
        <w:tc>
          <w:tcPr>
            <w:tcW w:w="9637" w:type="dxa"/>
            <w:gridSpan w:val="2"/>
            <w:tcBorders>
              <w:top w:val="single" w:color="4D94B7" w:sz="4" w:space="0"/>
              <w:left w:val="single" w:color="4D94B7" w:sz="4" w:space="0"/>
              <w:bottom w:val="single" w:color="4D94B7" w:sz="4" w:space="0"/>
            </w:tcBorders>
            <w:shd w:val="clear" w:color="auto" w:fill="auto"/>
          </w:tcPr>
          <w:p w:rsidR="00754C4F" w:rsidP="007A19B5" w:rsidRDefault="00000000" w14:paraId="62E6D3FA" w14:textId="7777777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Wehkamp begann 1995 mit seinen ersten Online-Experimenten, aber gleichzeitig stagnierte das Geschäft aufgrund des alten Geschäftsmodells, welches mit dem Katalogverkauf, kontinuierlichen inkrementellen Verbesserungen sowie einem starken Fokus auf Effizienz verbunden war.</w:t>
            </w:r>
            <w:r>
              <w:rPr>
                <w:rFonts w:ascii="Helvetica neue" w:hAnsi="Helvetica neue" w:eastAsia="Helvetica neue" w:cs="Helvetica neue"/>
                <w:color w:val="000000"/>
                <w:vertAlign w:val="superscript"/>
              </w:rPr>
              <w:footnoteReference w:id="1"/>
            </w:r>
            <w:r>
              <w:rPr>
                <w:rFonts w:ascii="Helvetica neue" w:hAnsi="Helvetica neue" w:eastAsia="Helvetica neue" w:cs="Helvetica neue"/>
                <w:color w:val="000000"/>
              </w:rPr>
              <w:t xml:space="preserve"> Zusammenfassend ist festzustellen, dass strikte Prozesse und Regeln für die Effizienzerhöhung unternehmerisches Verhalten behindern k</w:t>
            </w:r>
            <w:r>
              <w:rPr>
                <w:rFonts w:ascii="Helvetica neue" w:hAnsi="Helvetica neue" w:eastAsia="Helvetica neue" w:cs="Helvetica neue"/>
              </w:rPr>
              <w:t>önnen</w:t>
            </w:r>
            <w:r>
              <w:rPr>
                <w:rFonts w:ascii="Helvetica neue" w:hAnsi="Helvetica neue" w:eastAsia="Helvetica neue" w:cs="Helvetica neue"/>
                <w:color w:val="000000"/>
              </w:rPr>
              <w:t>, da ein solches Verhalten bedeutet, mit radikalen Innovationen gegen etablierte und akzeptierte Wege angehen zu müssen; Formalisierung, Kontrolle und Hierarchie vs. Autonomie und unternehmerisches Denken.</w:t>
            </w:r>
            <w:r>
              <w:rPr>
                <w:rFonts w:ascii="Helvetica neue" w:hAnsi="Helvetica neue" w:eastAsia="Helvetica neue" w:cs="Helvetica neue"/>
                <w:color w:val="000000"/>
                <w:vertAlign w:val="superscript"/>
              </w:rPr>
              <w:footnoteReference w:id="2"/>
            </w:r>
            <w:r>
              <w:rPr>
                <w:rFonts w:ascii="Helvetica neue" w:hAnsi="Helvetica neue" w:eastAsia="Helvetica neue" w:cs="Helvetica neue"/>
                <w:color w:val="000000"/>
              </w:rPr>
              <w:t xml:space="preserve"> </w:t>
            </w:r>
          </w:p>
          <w:p w:rsidR="00754C4F" w:rsidP="007A19B5" w:rsidRDefault="00754C4F" w14:paraId="4C5EFD47"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00754C4F" w:rsidP="007A19B5" w:rsidRDefault="00000000" w14:paraId="7327765D" w14:textId="7777777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Das Resultat dieser Analyse von Deprez et al. ist, dass ein modellgestütztes System für die Schaffung einer innovativen Kultur wichtig ist</w:t>
            </w:r>
            <w:r>
              <w:rPr>
                <w:rFonts w:ascii="Helvetica neue" w:hAnsi="Helvetica neue" w:eastAsia="Helvetica neue" w:cs="Helvetica neue"/>
              </w:rPr>
              <w:t xml:space="preserve">; </w:t>
            </w:r>
            <w:r>
              <w:rPr>
                <w:rFonts w:ascii="Helvetica neue" w:hAnsi="Helvetica neue" w:eastAsia="Helvetica neue" w:cs="Helvetica neue"/>
                <w:color w:val="000000"/>
              </w:rPr>
              <w:t xml:space="preserve">ein solches modellgestütztes System wird im Folgenden beschrieben: </w:t>
            </w:r>
          </w:p>
          <w:p w:rsidR="00754C4F" w:rsidP="007A19B5" w:rsidRDefault="00754C4F" w14:paraId="4BF4CB5D"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00754C4F" w:rsidP="007A19B5" w:rsidRDefault="00000000" w14:paraId="092A991D" w14:textId="77777777">
            <w:pPr>
              <w:widowControl w:val="0"/>
              <w:pBdr>
                <w:top w:val="nil"/>
                <w:left w:val="nil"/>
                <w:bottom w:val="nil"/>
                <w:right w:val="nil"/>
                <w:between w:val="nil"/>
              </w:pBdr>
              <w:jc w:val="both"/>
              <w:rPr>
                <w:rFonts w:ascii="Helvetica neue" w:hAnsi="Helvetica neue" w:eastAsia="Helvetica neue" w:cs="Helvetica neue"/>
                <w:b/>
                <w:color w:val="000000"/>
              </w:rPr>
            </w:pPr>
            <w:r>
              <w:rPr>
                <w:rFonts w:ascii="Helvetica neue" w:hAnsi="Helvetica neue" w:eastAsia="Helvetica neue" w:cs="Helvetica neue"/>
                <w:b/>
                <w:color w:val="000000"/>
              </w:rPr>
              <w:t xml:space="preserve">Phase 1: Intrapreneurship von einigen </w:t>
            </w:r>
            <w:r>
              <w:rPr>
                <w:rFonts w:ascii="Helvetica neue" w:hAnsi="Helvetica neue" w:eastAsia="Helvetica neue" w:cs="Helvetica neue"/>
                <w:b/>
              </w:rPr>
              <w:t>W</w:t>
            </w:r>
            <w:r>
              <w:rPr>
                <w:rFonts w:ascii="Helvetica neue" w:hAnsi="Helvetica neue" w:eastAsia="Helvetica neue" w:cs="Helvetica neue"/>
                <w:b/>
                <w:color w:val="000000"/>
              </w:rPr>
              <w:t>enigen</w:t>
            </w:r>
          </w:p>
          <w:p w:rsidR="00754C4F" w:rsidP="007A19B5" w:rsidRDefault="00000000" w14:paraId="42409758" w14:textId="7777777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 xml:space="preserve">Zunächst können Mitarbeitende an vorderster Stelle Veränderungen </w:t>
            </w:r>
            <w:r>
              <w:rPr>
                <w:rFonts w:ascii="Helvetica neue" w:hAnsi="Helvetica neue" w:eastAsia="Helvetica neue" w:cs="Helvetica neue"/>
              </w:rPr>
              <w:t>und Märkte</w:t>
            </w:r>
            <w:r>
              <w:rPr>
                <w:rFonts w:ascii="Helvetica neue" w:hAnsi="Helvetica neue" w:eastAsia="Helvetica neue" w:cs="Helvetica neue"/>
                <w:color w:val="000000"/>
              </w:rPr>
              <w:t xml:space="preserve"> beobachten, wie beispielsweise sich verändernde Kundenbedürfnisse und können so Lösungen finden. Sie sind sehr wichtige Quellen für die Suche nach innovativen Lösungen. Um Innovationen zu finden und zu </w:t>
            </w:r>
            <w:r>
              <w:rPr>
                <w:rFonts w:ascii="Helvetica neue" w:hAnsi="Helvetica neue" w:eastAsia="Helvetica neue" w:cs="Helvetica neue"/>
              </w:rPr>
              <w:t>etablieren, ist</w:t>
            </w:r>
            <w:r>
              <w:rPr>
                <w:rFonts w:ascii="Helvetica neue" w:hAnsi="Helvetica neue" w:eastAsia="Helvetica neue" w:cs="Helvetica neue"/>
                <w:color w:val="000000"/>
              </w:rPr>
              <w:t xml:space="preserve"> ein zunehmendes Maß an Autonomie und Entscheidungsfreiheit erforderlich. Dieses kann von den Teamleiter</w:t>
            </w:r>
            <w:r>
              <w:rPr>
                <w:rFonts w:ascii="Helvetica neue" w:hAnsi="Helvetica neue" w:eastAsia="Helvetica neue" w:cs="Helvetica neue"/>
              </w:rPr>
              <w:t>*innen</w:t>
            </w:r>
            <w:r>
              <w:rPr>
                <w:rFonts w:ascii="Helvetica neue" w:hAnsi="Helvetica neue" w:eastAsia="Helvetica neue" w:cs="Helvetica neue"/>
                <w:color w:val="000000"/>
              </w:rPr>
              <w:t xml:space="preserve"> gegeben werden und fördert die Eigeninitiative der Mitarbeitenden. Die Rückmeldung zum Entwicklungsstand seiner oder ihrer Idee und das </w:t>
            </w:r>
            <w:r>
              <w:rPr>
                <w:rFonts w:ascii="Helvetica neue" w:hAnsi="Helvetica neue" w:eastAsia="Helvetica neue" w:cs="Helvetica neue"/>
              </w:rPr>
              <w:t>Angebot, die</w:t>
            </w:r>
            <w:r>
              <w:rPr>
                <w:rFonts w:ascii="Helvetica neue" w:hAnsi="Helvetica neue" w:eastAsia="Helvetica neue" w:cs="Helvetica neue"/>
                <w:color w:val="000000"/>
              </w:rPr>
              <w:t xml:space="preserve">  </w:t>
            </w:r>
            <w:r>
              <w:rPr>
                <w:rFonts w:ascii="Helvetica neue" w:hAnsi="Helvetica neue" w:eastAsia="Helvetica neue" w:cs="Helvetica neue"/>
              </w:rPr>
              <w:t>eigene</w:t>
            </w:r>
            <w:r>
              <w:rPr>
                <w:rFonts w:ascii="Helvetica neue" w:hAnsi="Helvetica neue" w:eastAsia="Helvetica neue" w:cs="Helvetica neue"/>
                <w:color w:val="000000"/>
              </w:rPr>
              <w:t xml:space="preserve"> Idee weiterentwickeln zu können, ist für die Motivation essentiell und </w:t>
            </w:r>
            <w:r>
              <w:rPr>
                <w:rFonts w:ascii="Helvetica neue" w:hAnsi="Helvetica neue" w:eastAsia="Helvetica neue" w:cs="Helvetica neue"/>
              </w:rPr>
              <w:t>kann</w:t>
            </w:r>
            <w:r>
              <w:rPr>
                <w:rFonts w:ascii="Helvetica neue" w:hAnsi="Helvetica neue" w:eastAsia="Helvetica neue" w:cs="Helvetica neue"/>
                <w:color w:val="000000"/>
              </w:rPr>
              <w:t xml:space="preserve"> weitere Ideen fördern. Letztlich muss definiert werden, warum die Organisation Intrapreneurship fördern will und mit wie viel Kapazität. </w:t>
            </w:r>
          </w:p>
          <w:p w:rsidR="00754C4F" w:rsidP="007A19B5" w:rsidRDefault="00754C4F" w14:paraId="42FAF272"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00754C4F" w:rsidP="007A19B5" w:rsidRDefault="00000000" w14:paraId="3033D356" w14:textId="77777777">
            <w:pPr>
              <w:widowControl w:val="0"/>
              <w:pBdr>
                <w:top w:val="nil"/>
                <w:left w:val="nil"/>
                <w:bottom w:val="nil"/>
                <w:right w:val="nil"/>
                <w:between w:val="nil"/>
              </w:pBdr>
              <w:jc w:val="both"/>
              <w:rPr>
                <w:rFonts w:ascii="Helvetica neue" w:hAnsi="Helvetica neue" w:eastAsia="Helvetica neue" w:cs="Helvetica neue"/>
                <w:b/>
                <w:color w:val="000000"/>
              </w:rPr>
            </w:pPr>
            <w:r>
              <w:rPr>
                <w:rFonts w:ascii="Helvetica neue" w:hAnsi="Helvetica neue" w:eastAsia="Helvetica neue" w:cs="Helvetica neue"/>
                <w:b/>
                <w:color w:val="000000"/>
              </w:rPr>
              <w:t>Phase 2: Nutzung von turbulenten Zeiten, um Intrapreneurship in der Breite zu fördern</w:t>
            </w:r>
          </w:p>
          <w:p w:rsidR="00754C4F" w:rsidP="007A19B5" w:rsidRDefault="00000000" w14:paraId="4F3F4E80" w14:textId="7777777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 xml:space="preserve">Es muss klargestellt werden, dass unternehmerisches Verhalten erwünscht ist und warum es eingeführt werden soll. Das Topmanagement kann hier Pionierarbeit leisten und Intrapreneurship </w:t>
            </w:r>
            <w:r>
              <w:rPr>
                <w:rFonts w:ascii="Helvetica neue" w:hAnsi="Helvetica neue" w:eastAsia="Helvetica neue" w:cs="Helvetica neue"/>
                <w:color w:val="000000"/>
              </w:rPr>
              <w:lastRenderedPageBreak/>
              <w:t xml:space="preserve">sowie das gewünschte Verhalten der Mitarbeitenden fördern. Niedrigere Hürden, weniger Formalisierung der Kommunikation und die Präsentation von Ideen können das Vorschlagen von Ideen fördern. Eine faire Kultur fördert ebenso Intrapreneurship: Intrapreneure möchten menschlich und fair behandelt werden. </w:t>
            </w:r>
          </w:p>
          <w:p w:rsidR="00754C4F" w:rsidP="007A19B5" w:rsidRDefault="00754C4F" w14:paraId="4AB3708C"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00754C4F" w:rsidP="007A19B5" w:rsidRDefault="00000000" w14:paraId="60F181D9" w14:textId="77777777">
            <w:pPr>
              <w:widowControl w:val="0"/>
              <w:pBdr>
                <w:top w:val="nil"/>
                <w:left w:val="nil"/>
                <w:bottom w:val="nil"/>
                <w:right w:val="nil"/>
                <w:between w:val="nil"/>
              </w:pBdr>
              <w:jc w:val="both"/>
              <w:rPr>
                <w:rFonts w:ascii="Helvetica neue" w:hAnsi="Helvetica neue" w:eastAsia="Helvetica neue" w:cs="Helvetica neue"/>
                <w:b/>
                <w:color w:val="000000"/>
              </w:rPr>
            </w:pPr>
            <w:r>
              <w:rPr>
                <w:rFonts w:ascii="Helvetica neue" w:hAnsi="Helvetica neue" w:eastAsia="Helvetica neue" w:cs="Helvetica neue"/>
                <w:b/>
                <w:color w:val="000000"/>
              </w:rPr>
              <w:t>Phase 3: Etablierung von Intrapreneurship in der Breite</w:t>
            </w:r>
          </w:p>
          <w:p w:rsidRPr="007A19B5" w:rsidR="00754C4F" w:rsidP="007A19B5" w:rsidRDefault="00000000" w14:paraId="64872C92" w14:textId="377117E2">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Viele Forschungsarbeiten befassen sich damit, herauszufinden, welche organisatorischen Faktoren Intrapreneurship unterstützen können. Es gibt fünf organisatorische Schlüsselfaktoren für die Förderung von Intrapreneurship: Autonomie, Belohnung, welche Zeit zur Verfügung steht, Unterstützung durch das Management und Grenzen, die für den Umfang einer Initiative gesetzt sind.</w:t>
            </w:r>
            <w:r>
              <w:rPr>
                <w:rFonts w:ascii="Helvetica neue" w:hAnsi="Helvetica neue" w:eastAsia="Helvetica neue" w:cs="Helvetica neue"/>
                <w:color w:val="000000"/>
                <w:vertAlign w:val="superscript"/>
              </w:rPr>
              <w:footnoteReference w:id="3"/>
            </w:r>
            <w:r>
              <w:rPr>
                <w:rFonts w:ascii="Helvetica neue" w:hAnsi="Helvetica neue" w:eastAsia="Helvetica neue" w:cs="Helvetica neue"/>
                <w:color w:val="000000"/>
              </w:rPr>
              <w:t xml:space="preserve"> Die Verfügbarkeit von Zeit meint nicht, dass der Initiative eine bestimmte Zeit zugewiesen wird, sondern Freiräume für Austauschtreffen mit anderen oder für die Entwicklung von Ideen genutzt werden können. Belohnungen können Boni oder indirekte Anreize, wie z. B. den Unternehmenserfolge gemeinsam zu </w:t>
            </w:r>
            <w:r>
              <w:rPr>
                <w:rFonts w:ascii="Helvetica neue" w:hAnsi="Helvetica neue" w:eastAsia="Helvetica neue" w:cs="Helvetica neue"/>
              </w:rPr>
              <w:t>feiern sein.</w:t>
            </w:r>
            <w:r>
              <w:rPr>
                <w:rFonts w:ascii="Helvetica neue" w:hAnsi="Helvetica neue" w:eastAsia="Helvetica neue" w:cs="Helvetica neue"/>
                <w:color w:val="000000"/>
              </w:rPr>
              <w:t xml:space="preserve"> </w:t>
            </w:r>
          </w:p>
        </w:tc>
      </w:tr>
      <w:tr w:rsidR="00754C4F" w:rsidTr="007A19B5" w14:paraId="2F24E7DC" w14:textId="77777777">
        <w:trPr>
          <w:trHeight w:val="20"/>
          <w:jc w:val="center"/>
        </w:trPr>
        <w:tc>
          <w:tcPr>
            <w:tcW w:w="3061" w:type="dxa"/>
            <w:tcBorders>
              <w:top w:val="single" w:color="4D94B7" w:sz="4" w:space="0"/>
              <w:left w:val="single" w:color="4D94B7" w:sz="4" w:space="0"/>
              <w:bottom w:val="single" w:color="FFFFFF" w:sz="4" w:space="0"/>
            </w:tcBorders>
            <w:shd w:val="clear" w:color="auto" w:fill="4D94B7"/>
          </w:tcPr>
          <w:p w:rsidR="00754C4F" w:rsidRDefault="00000000" w14:paraId="2DE5B1D0" w14:textId="77777777">
            <w:pPr>
              <w:rPr>
                <w:rFonts w:ascii="Helvetica neue" w:hAnsi="Helvetica neue" w:eastAsia="Helvetica neue" w:cs="Helvetica neue"/>
                <w:b/>
                <w:color w:val="FFFFFF"/>
              </w:rPr>
            </w:pPr>
            <w:r>
              <w:rPr>
                <w:rFonts w:ascii="Helvetica neue" w:hAnsi="Helvetica neue" w:eastAsia="Helvetica neue" w:cs="Helvetica neue"/>
                <w:b/>
                <w:color w:val="FFFFFF"/>
              </w:rPr>
              <w:lastRenderedPageBreak/>
              <w:t>Quelle</w:t>
            </w:r>
          </w:p>
        </w:tc>
        <w:tc>
          <w:tcPr>
            <w:tcW w:w="6576" w:type="dxa"/>
            <w:tcBorders>
              <w:top w:val="single" w:color="4D94B7" w:sz="4" w:space="0"/>
            </w:tcBorders>
            <w:shd w:val="clear" w:color="auto" w:fill="FFFFFF"/>
          </w:tcPr>
          <w:p w:rsidR="00754C4F" w:rsidRDefault="00000000" w14:paraId="5FE35446" w14:textId="77777777">
            <w:pPr>
              <w:rPr>
                <w:rFonts w:ascii="Helvetica neue" w:hAnsi="Helvetica neue" w:eastAsia="Helvetica neue" w:cs="Helvetica neue"/>
              </w:rPr>
            </w:pPr>
            <w:r>
              <w:rPr>
                <w:rFonts w:ascii="Helvetica neue" w:hAnsi="Helvetica neue" w:eastAsia="Helvetica neue" w:cs="Helvetica neue"/>
              </w:rPr>
              <w:t>Deprez, J.; Leroy, H.; Euwema, M. (2018). Three chronological steps toward encouraging intrapreneurship: Lessons from the Wehkamp case. Business Horizons, 61, p. 135-145.</w:t>
            </w:r>
          </w:p>
        </w:tc>
      </w:tr>
    </w:tbl>
    <w:p w:rsidR="00754C4F" w:rsidRDefault="00754C4F" w14:paraId="35DFA203" w14:textId="77777777">
      <w:pPr>
        <w:rPr>
          <w:rFonts w:ascii="Helvetica neue" w:hAnsi="Helvetica neue" w:eastAsia="Helvetica neue" w:cs="Helvetica neue"/>
        </w:rPr>
      </w:pPr>
    </w:p>
    <w:p w:rsidR="00754C4F" w:rsidRDefault="00754C4F" w14:paraId="5F5724AE" w14:textId="77777777">
      <w:pPr>
        <w:pBdr>
          <w:top w:val="nil"/>
          <w:left w:val="nil"/>
          <w:bottom w:val="nil"/>
          <w:right w:val="nil"/>
          <w:between w:val="nil"/>
        </w:pBdr>
        <w:rPr>
          <w:rFonts w:ascii="Helvetica neue" w:hAnsi="Helvetica neue" w:eastAsia="Helvetica neue" w:cs="Helvetica neue"/>
          <w:color w:val="000000"/>
          <w:sz w:val="20"/>
          <w:szCs w:val="20"/>
        </w:rPr>
      </w:pPr>
    </w:p>
    <w:p w:rsidR="00754C4F" w:rsidRDefault="00754C4F" w14:paraId="2D270E04" w14:textId="77777777">
      <w:pPr>
        <w:pBdr>
          <w:top w:val="nil"/>
          <w:left w:val="nil"/>
          <w:bottom w:val="nil"/>
          <w:right w:val="nil"/>
          <w:between w:val="nil"/>
        </w:pBdr>
        <w:rPr>
          <w:rFonts w:ascii="Helvetica neue" w:hAnsi="Helvetica neue" w:eastAsia="Helvetica neue" w:cs="Helvetica neue"/>
          <w:color w:val="000000"/>
          <w:sz w:val="20"/>
          <w:szCs w:val="20"/>
        </w:rPr>
      </w:pPr>
    </w:p>
    <w:p w:rsidR="00754C4F" w:rsidRDefault="00754C4F" w14:paraId="0969F027" w14:textId="77777777">
      <w:pPr>
        <w:pBdr>
          <w:top w:val="nil"/>
          <w:left w:val="nil"/>
          <w:bottom w:val="nil"/>
          <w:right w:val="nil"/>
          <w:between w:val="nil"/>
        </w:pBdr>
        <w:rPr>
          <w:rFonts w:ascii="Helvetica neue" w:hAnsi="Helvetica neue" w:eastAsia="Helvetica neue" w:cs="Helvetica neue"/>
          <w:color w:val="000000"/>
          <w:sz w:val="20"/>
          <w:szCs w:val="20"/>
        </w:rPr>
      </w:pPr>
    </w:p>
    <w:p w:rsidR="00754C4F" w:rsidRDefault="00754C4F" w14:paraId="402EB0DB" w14:textId="77777777">
      <w:pPr>
        <w:pBdr>
          <w:top w:val="nil"/>
          <w:left w:val="nil"/>
          <w:bottom w:val="nil"/>
          <w:right w:val="nil"/>
          <w:between w:val="nil"/>
        </w:pBdr>
        <w:rPr>
          <w:rFonts w:ascii="Helvetica neue" w:hAnsi="Helvetica neue" w:eastAsia="Helvetica neue" w:cs="Helvetica neue"/>
          <w:color w:val="000000"/>
          <w:sz w:val="20"/>
          <w:szCs w:val="20"/>
        </w:rPr>
      </w:pPr>
    </w:p>
    <w:p w:rsidR="00754C4F" w:rsidRDefault="00754C4F" w14:paraId="5A438D3C" w14:textId="77777777">
      <w:pPr>
        <w:pBdr>
          <w:top w:val="nil"/>
          <w:left w:val="nil"/>
          <w:bottom w:val="nil"/>
          <w:right w:val="nil"/>
          <w:between w:val="nil"/>
        </w:pBdr>
        <w:rPr>
          <w:rFonts w:ascii="Helvetica neue" w:hAnsi="Helvetica neue" w:eastAsia="Helvetica neue" w:cs="Helvetica neue"/>
          <w:color w:val="000000"/>
          <w:sz w:val="20"/>
          <w:szCs w:val="20"/>
        </w:rPr>
      </w:pPr>
    </w:p>
    <w:p w:rsidR="00754C4F" w:rsidRDefault="00754C4F" w14:paraId="6C8E222B" w14:textId="77777777">
      <w:pPr>
        <w:pBdr>
          <w:top w:val="nil"/>
          <w:left w:val="nil"/>
          <w:bottom w:val="nil"/>
          <w:right w:val="nil"/>
          <w:between w:val="nil"/>
        </w:pBdr>
        <w:rPr>
          <w:rFonts w:ascii="Helvetica neue" w:hAnsi="Helvetica neue" w:eastAsia="Helvetica neue" w:cs="Helvetica neue"/>
          <w:color w:val="000000"/>
          <w:sz w:val="20"/>
          <w:szCs w:val="20"/>
        </w:rPr>
      </w:pPr>
    </w:p>
    <w:p w:rsidR="00754C4F" w:rsidRDefault="00754C4F" w14:paraId="23C1B0A0" w14:textId="77777777">
      <w:pPr>
        <w:pBdr>
          <w:top w:val="nil"/>
          <w:left w:val="nil"/>
          <w:bottom w:val="nil"/>
          <w:right w:val="nil"/>
          <w:between w:val="nil"/>
        </w:pBdr>
        <w:rPr>
          <w:rFonts w:ascii="Helvetica neue" w:hAnsi="Helvetica neue" w:eastAsia="Helvetica neue" w:cs="Helvetica neue"/>
          <w:color w:val="000000"/>
          <w:sz w:val="20"/>
          <w:szCs w:val="20"/>
        </w:rPr>
      </w:pPr>
    </w:p>
    <w:sectPr w:rsidR="00754C4F">
      <w:headerReference w:type="default" r:id="rId7"/>
      <w:footerReference w:type="default" r:id="rId8"/>
      <w:pgSz w:w="11906" w:h="16838" w:orient="portrait"/>
      <w:pgMar w:top="1417" w:right="1701" w:bottom="1985"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B5D" w:rsidRDefault="005A7B5D" w14:paraId="7795EE54" w14:textId="77777777">
      <w:r>
        <w:separator/>
      </w:r>
    </w:p>
  </w:endnote>
  <w:endnote w:type="continuationSeparator" w:id="0">
    <w:p w:rsidR="005A7B5D" w:rsidRDefault="005A7B5D" w14:paraId="674B1E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54C4F" w:rsidRDefault="00000000" w14:paraId="736AD20D" w14:textId="77777777">
    <w:pPr>
      <w:pBdr>
        <w:top w:val="nil"/>
        <w:left w:val="nil"/>
        <w:bottom w:val="nil"/>
        <w:right w:val="nil"/>
        <w:between w:val="nil"/>
      </w:pBdr>
      <w:spacing w:before="10"/>
      <w:rPr>
        <w:color w:val="000000"/>
        <w:sz w:val="20"/>
        <w:szCs w:val="20"/>
      </w:rPr>
    </w:pPr>
    <w:r>
      <w:rPr>
        <w:noProof/>
      </w:rPr>
      <w:drawing>
        <wp:anchor distT="0" distB="0" distL="114300" distR="114300" simplePos="0" relativeHeight="251663360" behindDoc="0" locked="0" layoutInCell="1" hidden="0" allowOverlap="1" wp14:anchorId="70FFA320" wp14:editId="1A21FA23">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1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2485DFC4" wp14:editId="3EE62DE2">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rsidR="00754C4F" w:rsidRDefault="00754C4F" w14:paraId="0EEBBF8E" w14:textId="77777777">
                              <w:pPr>
                                <w:textDirection w:val="btLr"/>
                              </w:pPr>
                            </w:p>
                          </w:txbxContent>
                        </wps:txbx>
                        <wps:bodyPr spcFirstLastPara="1" wrap="square" lIns="91425" tIns="91425" rIns="91425" bIns="91425" anchor="ctr" anchorCtr="0">
                          <a:noAutofit/>
                        </wps:bodyPr>
                      </wps:wsp>
                      <wps:wsp>
                        <wps:cNvPr id="7" name="Gerade Verbindung mit Pfeil 7"/>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6372225" cy="133985"/>
                      </a:xfrm>
                      <a:prstGeom prst="rect"/>
                      <a:ln/>
                    </pic:spPr>
                  </pic:pic>
                </a:graphicData>
              </a:graphic>
            </wp:anchor>
          </w:drawing>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4"/>
      <w:gridCol w:w="1795"/>
    </w:tblGrid>
    <w:tr w:rsidR="00754C4F" w:rsidTr="3D120C55" w14:paraId="27C3D405" w14:textId="77777777">
      <w:tc>
        <w:tcPr>
          <w:tcW w:w="3180" w:type="dxa"/>
          <w:tcMar/>
        </w:tcPr>
        <w:p w:rsidR="00754C4F" w:rsidP="3D120C55" w:rsidRDefault="00294BBA" w14:paraId="64094504" w14:textId="407E4A2C">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3D120C55">
            <w:drawing>
              <wp:inline wp14:editId="3D120C55" wp14:anchorId="64D94146">
                <wp:extent cx="1885950" cy="400050"/>
                <wp:effectExtent l="0" t="0" r="0" b="0"/>
                <wp:docPr id="50941713" name="" title=""/>
                <wp:cNvGraphicFramePr>
                  <a:graphicFrameLocks noChangeAspect="1"/>
                </wp:cNvGraphicFramePr>
                <a:graphic>
                  <a:graphicData uri="http://schemas.openxmlformats.org/drawingml/2006/picture">
                    <pic:pic>
                      <pic:nvPicPr>
                        <pic:cNvPr id="0" name=""/>
                        <pic:cNvPicPr/>
                      </pic:nvPicPr>
                      <pic:blipFill>
                        <a:blip r:embed="Rb8ca761536764ddd">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754C4F" w:rsidP="3D120C55" w:rsidRDefault="00754C4F" w14:paraId="52A993E0" w14:textId="1E654F04">
          <w:pPr>
            <w:pStyle w:val="Fuzeile"/>
            <w:widowControl w:val="0"/>
            <w:tabs>
              <w:tab w:val="center" w:leader="none" w:pos="4252"/>
              <w:tab w:val="right" w:leader="none" w:pos="8504"/>
            </w:tabs>
            <w:rPr>
              <w:rFonts w:ascii="Calibri" w:hAnsi="Calibri" w:eastAsia="Calibri" w:cs="Calibri"/>
              <w:noProof w:val="0"/>
              <w:sz w:val="16"/>
              <w:szCs w:val="16"/>
              <w:lang w:val="de-DE"/>
            </w:rPr>
          </w:pPr>
          <w:r w:rsidRPr="3D120C55" w:rsidR="3D120C55">
            <w:rPr>
              <w:sz w:val="16"/>
              <w:szCs w:val="16"/>
            </w:rPr>
            <w:t>Funded</w:t>
          </w:r>
          <w:r w:rsidRPr="3D120C55" w:rsidR="3D120C55">
            <w:rPr>
              <w:sz w:val="16"/>
              <w:szCs w:val="16"/>
            </w:rPr>
            <w:t xml:space="preserve"> </w:t>
          </w:r>
          <w:r w:rsidRPr="3D120C55" w:rsidR="3D120C55">
            <w:rPr>
              <w:sz w:val="16"/>
              <w:szCs w:val="16"/>
            </w:rPr>
            <w:t>by</w:t>
          </w:r>
          <w:r w:rsidRPr="3D120C55" w:rsidR="3D120C55">
            <w:rPr>
              <w:sz w:val="16"/>
              <w:szCs w:val="16"/>
            </w:rPr>
            <w:t xml:space="preserve"> </w:t>
          </w:r>
          <w:r w:rsidRPr="3D120C55" w:rsidR="3D120C55">
            <w:rPr>
              <w:sz w:val="16"/>
              <w:szCs w:val="16"/>
            </w:rPr>
            <w:t>the</w:t>
          </w:r>
          <w:r w:rsidRPr="3D120C55" w:rsidR="3D120C55">
            <w:rPr>
              <w:sz w:val="16"/>
              <w:szCs w:val="16"/>
            </w:rPr>
            <w:t xml:space="preserve"> European Union. Views and </w:t>
          </w:r>
          <w:r w:rsidRPr="3D120C55" w:rsidR="3D120C55">
            <w:rPr>
              <w:sz w:val="16"/>
              <w:szCs w:val="16"/>
            </w:rPr>
            <w:t>opinions</w:t>
          </w:r>
          <w:r w:rsidRPr="3D120C55" w:rsidR="3D120C55">
            <w:rPr>
              <w:sz w:val="16"/>
              <w:szCs w:val="16"/>
            </w:rPr>
            <w:t xml:space="preserve"> </w:t>
          </w:r>
          <w:r w:rsidRPr="3D120C55" w:rsidR="3D120C55">
            <w:rPr>
              <w:sz w:val="16"/>
              <w:szCs w:val="16"/>
            </w:rPr>
            <w:t>expressed</w:t>
          </w:r>
          <w:r w:rsidRPr="3D120C55" w:rsidR="3D120C55">
            <w:rPr>
              <w:sz w:val="16"/>
              <w:szCs w:val="16"/>
            </w:rPr>
            <w:t xml:space="preserve"> </w:t>
          </w:r>
          <w:r w:rsidRPr="3D120C55" w:rsidR="3D120C55">
            <w:rPr>
              <w:sz w:val="16"/>
              <w:szCs w:val="16"/>
            </w:rPr>
            <w:t>are</w:t>
          </w:r>
          <w:r w:rsidRPr="3D120C55" w:rsidR="3D120C55">
            <w:rPr>
              <w:sz w:val="16"/>
              <w:szCs w:val="16"/>
            </w:rPr>
            <w:t xml:space="preserve"> </w:t>
          </w:r>
          <w:r w:rsidRPr="3D120C55" w:rsidR="3D120C55">
            <w:rPr>
              <w:sz w:val="16"/>
              <w:szCs w:val="16"/>
            </w:rPr>
            <w:t>however</w:t>
          </w:r>
          <w:r w:rsidRPr="3D120C55" w:rsidR="3D120C55">
            <w:rPr>
              <w:sz w:val="16"/>
              <w:szCs w:val="16"/>
            </w:rPr>
            <w:t xml:space="preserve"> </w:t>
          </w:r>
          <w:r w:rsidRPr="3D120C55" w:rsidR="3D120C55">
            <w:rPr>
              <w:sz w:val="16"/>
              <w:szCs w:val="16"/>
            </w:rPr>
            <w:t>those</w:t>
          </w:r>
          <w:r w:rsidRPr="3D120C55" w:rsidR="3D120C55">
            <w:rPr>
              <w:sz w:val="16"/>
              <w:szCs w:val="16"/>
            </w:rPr>
            <w:t xml:space="preserve"> </w:t>
          </w:r>
          <w:r w:rsidRPr="3D120C55" w:rsidR="3D120C55">
            <w:rPr>
              <w:sz w:val="16"/>
              <w:szCs w:val="16"/>
            </w:rPr>
            <w:t>of</w:t>
          </w:r>
          <w:r w:rsidRPr="3D120C55" w:rsidR="3D120C55">
            <w:rPr>
              <w:sz w:val="16"/>
              <w:szCs w:val="16"/>
            </w:rPr>
            <w:t xml:space="preserve"> </w:t>
          </w:r>
          <w:r w:rsidRPr="3D120C55" w:rsidR="3D120C55">
            <w:rPr>
              <w:sz w:val="16"/>
              <w:szCs w:val="16"/>
            </w:rPr>
            <w:t>the</w:t>
          </w:r>
          <w:r w:rsidRPr="3D120C55" w:rsidR="3D120C55">
            <w:rPr>
              <w:sz w:val="16"/>
              <w:szCs w:val="16"/>
            </w:rPr>
            <w:t xml:space="preserve"> </w:t>
          </w:r>
          <w:r w:rsidRPr="3D120C55" w:rsidR="3D120C55">
            <w:rPr>
              <w:sz w:val="16"/>
              <w:szCs w:val="16"/>
            </w:rPr>
            <w:t>author</w:t>
          </w:r>
          <w:r w:rsidRPr="3D120C55" w:rsidR="3D120C55">
            <w:rPr>
              <w:sz w:val="16"/>
              <w:szCs w:val="16"/>
            </w:rPr>
            <w:t xml:space="preserve">(s) </w:t>
          </w:r>
          <w:r w:rsidRPr="3D120C55" w:rsidR="3D120C55">
            <w:rPr>
              <w:sz w:val="16"/>
              <w:szCs w:val="16"/>
            </w:rPr>
            <w:t>only</w:t>
          </w:r>
          <w:r w:rsidRPr="3D120C55" w:rsidR="3D120C55">
            <w:rPr>
              <w:sz w:val="16"/>
              <w:szCs w:val="16"/>
            </w:rPr>
            <w:t xml:space="preserve"> and do not </w:t>
          </w:r>
          <w:r w:rsidRPr="3D120C55" w:rsidR="3D120C55">
            <w:rPr>
              <w:sz w:val="16"/>
              <w:szCs w:val="16"/>
            </w:rPr>
            <w:t>necessarily</w:t>
          </w:r>
          <w:r w:rsidRPr="3D120C55" w:rsidR="3D120C55">
            <w:rPr>
              <w:sz w:val="16"/>
              <w:szCs w:val="16"/>
            </w:rPr>
            <w:t xml:space="preserve"> </w:t>
          </w:r>
          <w:r w:rsidRPr="3D120C55" w:rsidR="3D120C55">
            <w:rPr>
              <w:sz w:val="16"/>
              <w:szCs w:val="16"/>
            </w:rPr>
            <w:t>reflect</w:t>
          </w:r>
          <w:r w:rsidRPr="3D120C55" w:rsidR="3D120C55">
            <w:rPr>
              <w:sz w:val="16"/>
              <w:szCs w:val="16"/>
            </w:rPr>
            <w:t xml:space="preserve"> </w:t>
          </w:r>
          <w:r w:rsidRPr="3D120C55" w:rsidR="3D120C55">
            <w:rPr>
              <w:sz w:val="16"/>
              <w:szCs w:val="16"/>
            </w:rPr>
            <w:t>those</w:t>
          </w:r>
          <w:r w:rsidRPr="3D120C55" w:rsidR="3D120C55">
            <w:rPr>
              <w:sz w:val="16"/>
              <w:szCs w:val="16"/>
            </w:rPr>
            <w:t xml:space="preserve"> </w:t>
          </w:r>
          <w:r w:rsidRPr="3D120C55" w:rsidR="3D120C55">
            <w:rPr>
              <w:sz w:val="16"/>
              <w:szCs w:val="16"/>
            </w:rPr>
            <w:t>of</w:t>
          </w:r>
          <w:r w:rsidRPr="3D120C55" w:rsidR="3D120C55">
            <w:rPr>
              <w:sz w:val="16"/>
              <w:szCs w:val="16"/>
            </w:rPr>
            <w:t xml:space="preserve"> </w:t>
          </w:r>
          <w:r w:rsidRPr="3D120C55" w:rsidR="3D120C55">
            <w:rPr>
              <w:sz w:val="16"/>
              <w:szCs w:val="16"/>
            </w:rPr>
            <w:t>the</w:t>
          </w:r>
          <w:r w:rsidRPr="3D120C55" w:rsidR="3D120C55">
            <w:rPr>
              <w:sz w:val="16"/>
              <w:szCs w:val="16"/>
            </w:rPr>
            <w:t xml:space="preserve"> European Union </w:t>
          </w:r>
          <w:r w:rsidRPr="3D120C55" w:rsidR="3D120C55">
            <w:rPr>
              <w:sz w:val="16"/>
              <w:szCs w:val="16"/>
            </w:rPr>
            <w:t>or</w:t>
          </w:r>
          <w:r w:rsidRPr="3D120C55" w:rsidR="3D120C55">
            <w:rPr>
              <w:sz w:val="16"/>
              <w:szCs w:val="16"/>
            </w:rPr>
            <w:t xml:space="preserve"> </w:t>
          </w:r>
          <w:r w:rsidRPr="3D120C55" w:rsidR="3D120C55">
            <w:rPr>
              <w:sz w:val="16"/>
              <w:szCs w:val="16"/>
            </w:rPr>
            <w:t>the</w:t>
          </w:r>
          <w:r w:rsidRPr="3D120C55" w:rsidR="3D120C55">
            <w:rPr>
              <w:sz w:val="16"/>
              <w:szCs w:val="16"/>
            </w:rPr>
            <w:t xml:space="preserve"> European Education and Culture Executive Agency (EACEA). </w:t>
          </w:r>
          <w:r w:rsidRPr="3D120C55" w:rsidR="3D120C55">
            <w:rPr>
              <w:sz w:val="16"/>
              <w:szCs w:val="16"/>
            </w:rPr>
            <w:t>Neither</w:t>
          </w:r>
          <w:r w:rsidRPr="3D120C55" w:rsidR="3D120C55">
            <w:rPr>
              <w:sz w:val="16"/>
              <w:szCs w:val="16"/>
            </w:rPr>
            <w:t xml:space="preserve"> </w:t>
          </w:r>
          <w:r w:rsidRPr="3D120C55" w:rsidR="3D120C55">
            <w:rPr>
              <w:sz w:val="16"/>
              <w:szCs w:val="16"/>
            </w:rPr>
            <w:t>the</w:t>
          </w:r>
          <w:r w:rsidRPr="3D120C55" w:rsidR="3D120C55">
            <w:rPr>
              <w:sz w:val="16"/>
              <w:szCs w:val="16"/>
            </w:rPr>
            <w:t xml:space="preserve"> European Union </w:t>
          </w:r>
          <w:r w:rsidRPr="3D120C55" w:rsidR="3D120C55">
            <w:rPr>
              <w:sz w:val="16"/>
              <w:szCs w:val="16"/>
            </w:rPr>
            <w:t>nor</w:t>
          </w:r>
          <w:r w:rsidRPr="3D120C55" w:rsidR="3D120C55">
            <w:rPr>
              <w:sz w:val="16"/>
              <w:szCs w:val="16"/>
            </w:rPr>
            <w:t xml:space="preserve"> EACEA </w:t>
          </w:r>
          <w:r w:rsidRPr="3D120C55" w:rsidR="3D120C55">
            <w:rPr>
              <w:sz w:val="16"/>
              <w:szCs w:val="16"/>
            </w:rPr>
            <w:t>can</w:t>
          </w:r>
          <w:r w:rsidRPr="3D120C55" w:rsidR="3D120C55">
            <w:rPr>
              <w:sz w:val="16"/>
              <w:szCs w:val="16"/>
            </w:rPr>
            <w:t xml:space="preserve"> </w:t>
          </w:r>
          <w:r w:rsidRPr="3D120C55" w:rsidR="3D120C55">
            <w:rPr>
              <w:sz w:val="16"/>
              <w:szCs w:val="16"/>
            </w:rPr>
            <w:t>be</w:t>
          </w:r>
          <w:r w:rsidRPr="3D120C55" w:rsidR="3D120C55">
            <w:rPr>
              <w:sz w:val="16"/>
              <w:szCs w:val="16"/>
            </w:rPr>
            <w:t xml:space="preserve"> </w:t>
          </w:r>
          <w:r w:rsidRPr="3D120C55" w:rsidR="3D120C55">
            <w:rPr>
              <w:sz w:val="16"/>
              <w:szCs w:val="16"/>
            </w:rPr>
            <w:t>held</w:t>
          </w:r>
          <w:r w:rsidRPr="3D120C55" w:rsidR="3D120C55">
            <w:rPr>
              <w:sz w:val="16"/>
              <w:szCs w:val="16"/>
            </w:rPr>
            <w:t xml:space="preserve"> </w:t>
          </w:r>
          <w:r w:rsidRPr="3D120C55" w:rsidR="3D120C55">
            <w:rPr>
              <w:sz w:val="16"/>
              <w:szCs w:val="16"/>
            </w:rPr>
            <w:t>responsible</w:t>
          </w:r>
          <w:r w:rsidRPr="3D120C55" w:rsidR="3D120C55">
            <w:rPr>
              <w:sz w:val="16"/>
              <w:szCs w:val="16"/>
            </w:rPr>
            <w:t xml:space="preserve"> </w:t>
          </w:r>
          <w:r w:rsidRPr="3D120C55" w:rsidR="3D120C55">
            <w:rPr>
              <w:sz w:val="16"/>
              <w:szCs w:val="16"/>
            </w:rPr>
            <w:t>for</w:t>
          </w:r>
          <w:r w:rsidRPr="3D120C55" w:rsidR="3D120C55">
            <w:rPr>
              <w:sz w:val="16"/>
              <w:szCs w:val="16"/>
            </w:rPr>
            <w:t xml:space="preserve"> </w:t>
          </w:r>
          <w:r w:rsidRPr="3D120C55" w:rsidR="3D120C55">
            <w:rPr>
              <w:sz w:val="16"/>
              <w:szCs w:val="16"/>
            </w:rPr>
            <w:t>them</w:t>
          </w:r>
          <w:r w:rsidRPr="3D120C55" w:rsidR="3D120C55">
            <w:rPr>
              <w:sz w:val="16"/>
              <w:szCs w:val="16"/>
            </w:rPr>
            <w:t>.</w:t>
          </w:r>
        </w:p>
      </w:tc>
      <w:tc>
        <w:tcPr>
          <w:tcW w:w="1795" w:type="dxa"/>
          <w:tcMar/>
        </w:tcPr>
        <w:p w:rsidR="00754C4F" w:rsidP="3D120C55" w:rsidRDefault="00294BBA" w14:paraId="4E9AE805" w14:textId="16B37B88">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3D120C55">
            <w:drawing>
              <wp:inline wp14:editId="4F077FDC" wp14:anchorId="78004E70">
                <wp:extent cx="1009650" cy="352425"/>
                <wp:effectExtent l="0" t="0" r="0" b="0"/>
                <wp:docPr id="35549635" name="" title=""/>
                <wp:cNvGraphicFramePr>
                  <a:graphicFrameLocks noChangeAspect="1"/>
                </wp:cNvGraphicFramePr>
                <a:graphic>
                  <a:graphicData uri="http://schemas.openxmlformats.org/drawingml/2006/picture">
                    <pic:pic>
                      <pic:nvPicPr>
                        <pic:cNvPr id="0" name=""/>
                        <pic:cNvPicPr/>
                      </pic:nvPicPr>
                      <pic:blipFill>
                        <a:blip r:embed="R7129b2b188084580">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754C4F" w:rsidRDefault="00754C4F" w14:paraId="1EA9933E" w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B5D" w:rsidRDefault="005A7B5D" w14:paraId="656DF785" w14:textId="77777777">
      <w:r>
        <w:separator/>
      </w:r>
    </w:p>
  </w:footnote>
  <w:footnote w:type="continuationSeparator" w:id="0">
    <w:p w:rsidR="005A7B5D" w:rsidRDefault="005A7B5D" w14:paraId="714BD0F5" w14:textId="77777777">
      <w:r>
        <w:continuationSeparator/>
      </w:r>
    </w:p>
  </w:footnote>
  <w:footnote w:id="1">
    <w:p w:rsidR="00754C4F" w:rsidRDefault="00000000" w14:paraId="539439DF" w14:textId="77777777">
      <w:pPr>
        <w:pBdr>
          <w:top w:val="nil"/>
          <w:left w:val="nil"/>
          <w:bottom w:val="nil"/>
          <w:right w:val="nil"/>
          <w:between w:val="nil"/>
        </w:pBdr>
        <w:rPr>
          <w:color w:val="000000"/>
          <w:sz w:val="20"/>
          <w:szCs w:val="20"/>
        </w:rPr>
      </w:pPr>
      <w:r>
        <w:rPr>
          <w:vertAlign w:val="superscript"/>
        </w:rPr>
        <w:footnoteRef/>
      </w:r>
      <w:r>
        <w:rPr>
          <w:color w:val="000000"/>
          <w:sz w:val="20"/>
          <w:szCs w:val="20"/>
        </w:rPr>
        <w:t>Deprez et al. (2018), S. 138</w:t>
      </w:r>
    </w:p>
  </w:footnote>
  <w:footnote w:id="2">
    <w:p w:rsidR="00754C4F" w:rsidRDefault="00000000" w14:paraId="787D0397" w14:textId="77777777">
      <w:pPr>
        <w:pBdr>
          <w:top w:val="nil"/>
          <w:left w:val="nil"/>
          <w:bottom w:val="nil"/>
          <w:right w:val="nil"/>
          <w:between w:val="nil"/>
        </w:pBdr>
        <w:rPr>
          <w:color w:val="000000"/>
          <w:sz w:val="20"/>
          <w:szCs w:val="20"/>
        </w:rPr>
      </w:pPr>
      <w:r>
        <w:rPr>
          <w:vertAlign w:val="superscript"/>
        </w:rPr>
        <w:footnoteRef/>
      </w:r>
      <w:r>
        <w:rPr>
          <w:color w:val="000000"/>
          <w:sz w:val="20"/>
          <w:szCs w:val="20"/>
        </w:rPr>
        <w:t>Deprez et al. (2018), S. 140</w:t>
      </w:r>
    </w:p>
  </w:footnote>
  <w:footnote w:id="3">
    <w:p w:rsidR="00754C4F" w:rsidRDefault="00000000" w14:paraId="6EFFA10D" w14:textId="77777777">
      <w:pPr>
        <w:pBdr>
          <w:top w:val="nil"/>
          <w:left w:val="nil"/>
          <w:bottom w:val="nil"/>
          <w:right w:val="nil"/>
          <w:between w:val="nil"/>
        </w:pBdr>
        <w:rPr>
          <w:color w:val="000000"/>
          <w:sz w:val="20"/>
          <w:szCs w:val="20"/>
        </w:rPr>
      </w:pPr>
      <w:r>
        <w:rPr>
          <w:vertAlign w:val="superscript"/>
        </w:rPr>
        <w:footnoteRef/>
      </w:r>
      <w:r>
        <w:rPr>
          <w:color w:val="000000"/>
          <w:sz w:val="20"/>
          <w:szCs w:val="20"/>
        </w:rPr>
        <w:t>Deprez et al. (2018), S.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54C4F" w:rsidRDefault="00000000" w14:paraId="776A3220" w14:textId="77777777">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79B103B2" wp14:editId="16E7AC91">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Gruppieren 111"/>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rsidR="00754C4F" w:rsidRDefault="00754C4F" w14:paraId="273F274B" w14:textId="77777777">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72225" cy="13398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0D3F58A" wp14:editId="6E7F982E">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1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rsidR="00754C4F" w:rsidRDefault="00000000" w14:paraId="4011F827" w14:textId="77777777">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2FFE0FE1" wp14:editId="40B3E542">
              <wp:simplePos x="0" y="0"/>
              <wp:positionH relativeFrom="page">
                <wp:posOffset>7001489</wp:posOffset>
              </wp:positionH>
              <wp:positionV relativeFrom="page">
                <wp:posOffset>714616</wp:posOffset>
              </wp:positionV>
              <wp:extent cx="0" cy="8590280"/>
              <wp:effectExtent l="0" t="0" r="0" b="0"/>
              <wp:wrapNone/>
              <wp:docPr id="112" name="Gerade Verbindung mit Pfeil 11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2"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506EE97F" wp14:editId="4A0082C8">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0A5FDBD" wp14:editId="4B03EF49">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1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rsidR="00754C4F" w:rsidRDefault="00754C4F" w14:paraId="0C69B3D5" w14:textId="77777777">
    <w:pPr>
      <w:pBdr>
        <w:top w:val="nil"/>
        <w:left w:val="nil"/>
        <w:bottom w:val="nil"/>
        <w:right w:val="nil"/>
        <w:between w:val="nil"/>
      </w:pBdr>
      <w:tabs>
        <w:tab w:val="left" w:pos="426"/>
        <w:tab w:val="left" w:pos="11199"/>
      </w:tabs>
      <w:rPr>
        <w:color w:val="000000"/>
        <w:sz w:val="20"/>
        <w:szCs w:val="20"/>
      </w:rPr>
    </w:pPr>
  </w:p>
  <w:p w:rsidR="00754C4F" w:rsidRDefault="00754C4F" w14:paraId="4E24A6AE" w14:textId="77777777">
    <w:pPr>
      <w:pBdr>
        <w:top w:val="nil"/>
        <w:left w:val="nil"/>
        <w:bottom w:val="nil"/>
        <w:right w:val="nil"/>
        <w:between w:val="nil"/>
      </w:pBdr>
      <w:jc w:val="center"/>
      <w:rPr>
        <w:rFonts w:ascii="Calibri" w:hAnsi="Calibri" w:eastAsia="Calibri" w:cs="Calibri"/>
        <w:color w:val="000000"/>
        <w:sz w:val="12"/>
        <w:szCs w:val="12"/>
      </w:rPr>
    </w:pPr>
  </w:p>
  <w:p w:rsidR="00754C4F" w:rsidRDefault="00754C4F" w14:paraId="6F1B32CE" w14:textId="77777777">
    <w:pPr>
      <w:pBdr>
        <w:top w:val="nil"/>
        <w:left w:val="nil"/>
        <w:bottom w:val="nil"/>
        <w:right w:val="nil"/>
        <w:between w:val="nil"/>
      </w:pBdr>
      <w:jc w:val="center"/>
      <w:rPr>
        <w:rFonts w:ascii="Calibri" w:hAnsi="Calibri" w:eastAsia="Calibri" w:cs="Calibri"/>
        <w:color w:val="000000"/>
        <w:sz w:val="12"/>
        <w:szCs w:val="12"/>
      </w:rPr>
    </w:pPr>
  </w:p>
  <w:p w:rsidR="00754C4F" w:rsidRDefault="00754C4F" w14:paraId="017901A0" w14:textId="77777777">
    <w:pPr>
      <w:pBdr>
        <w:top w:val="nil"/>
        <w:left w:val="nil"/>
        <w:bottom w:val="nil"/>
        <w:right w:val="nil"/>
        <w:between w:val="nil"/>
      </w:pBdr>
      <w:jc w:val="center"/>
      <w:rPr>
        <w:rFonts w:ascii="Calibri" w:hAnsi="Calibri" w:eastAsia="Calibri" w:cs="Calibri"/>
        <w:color w:val="000000"/>
        <w:sz w:val="12"/>
        <w:szCs w:val="12"/>
      </w:rPr>
    </w:pPr>
  </w:p>
  <w:p w:rsidR="00754C4F" w:rsidRDefault="00754C4F" w14:paraId="1A40031C" w14:textId="77777777">
    <w:pPr>
      <w:pBdr>
        <w:top w:val="nil"/>
        <w:left w:val="nil"/>
        <w:bottom w:val="nil"/>
        <w:right w:val="nil"/>
        <w:between w:val="nil"/>
      </w:pBdr>
      <w:jc w:val="center"/>
      <w:rPr>
        <w:rFonts w:ascii="Calibri" w:hAnsi="Calibri" w:eastAsia="Calibri" w:cs="Calibri"/>
        <w:color w:val="000000"/>
        <w:sz w:val="12"/>
        <w:szCs w:val="12"/>
      </w:rPr>
    </w:pPr>
  </w:p>
  <w:p w:rsidR="00754C4F" w:rsidRDefault="00754C4F" w14:paraId="24C4148E" w14:textId="77777777">
    <w:pPr>
      <w:pBdr>
        <w:top w:val="nil"/>
        <w:left w:val="nil"/>
        <w:bottom w:val="nil"/>
        <w:right w:val="nil"/>
        <w:between w:val="nil"/>
      </w:pBdr>
      <w:jc w:val="center"/>
      <w:rPr>
        <w:rFonts w:ascii="Calibri" w:hAnsi="Calibri" w:eastAsia="Calibri" w:cs="Calibri"/>
        <w:color w:val="000000"/>
        <w:sz w:val="14"/>
        <w:szCs w:val="14"/>
      </w:rPr>
    </w:pPr>
  </w:p>
  <w:p w:rsidR="00754C4F" w:rsidRDefault="00000000" w14:paraId="1155403A" w14:textId="77777777">
    <w:pPr>
      <w:pBdr>
        <w:top w:val="nil"/>
        <w:left w:val="nil"/>
        <w:bottom w:val="nil"/>
        <w:right w:val="nil"/>
        <w:between w:val="nil"/>
      </w:pBdr>
      <w:jc w:val="center"/>
      <w:rPr>
        <w:rFonts w:ascii="Calibri" w:hAnsi="Calibri" w:eastAsia="Calibri" w:cs="Calibri"/>
        <w:color w:val="000000"/>
        <w:sz w:val="14"/>
        <w:szCs w:val="14"/>
      </w:rPr>
    </w:pPr>
    <w:r>
      <w:rPr>
        <w:rFonts w:ascii="Calibri" w:hAnsi="Calibri" w:eastAsia="Calibri" w:cs="Calibri"/>
        <w:color w:val="000000"/>
        <w:sz w:val="14"/>
        <w:szCs w:val="14"/>
      </w:rPr>
      <w:t>genieproject.eu</w:t>
    </w:r>
  </w:p>
  <w:p w:rsidR="00754C4F" w:rsidRDefault="00754C4F" w14:paraId="0E8DA87C" w14:textId="77777777">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4F"/>
    <w:rsid w:val="00000000"/>
    <w:rsid w:val="00015381"/>
    <w:rsid w:val="001C3F32"/>
    <w:rsid w:val="00294BBA"/>
    <w:rsid w:val="002C45D2"/>
    <w:rsid w:val="00336A0E"/>
    <w:rsid w:val="003B5FA0"/>
    <w:rsid w:val="004070EA"/>
    <w:rsid w:val="005A7B5D"/>
    <w:rsid w:val="00754C4F"/>
    <w:rsid w:val="007A19B5"/>
    <w:rsid w:val="025F5EF2"/>
    <w:rsid w:val="24E8E920"/>
    <w:rsid w:val="3D120C55"/>
    <w:rsid w:val="5E647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5A15"/>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Funotentext">
    <w:name w:val="footnote text"/>
    <w:basedOn w:val="Standard"/>
    <w:link w:val="FunotentextZchn"/>
    <w:uiPriority w:val="99"/>
    <w:semiHidden/>
    <w:unhideWhenUsed/>
    <w:rsid w:val="00BF427E"/>
    <w:rPr>
      <w:sz w:val="20"/>
      <w:szCs w:val="20"/>
    </w:rPr>
  </w:style>
  <w:style w:type="character" w:styleId="FunotentextZchn" w:customStyle="1">
    <w:name w:val="Fußnotentext Zchn"/>
    <w:basedOn w:val="Absatz-Standardschriftart"/>
    <w:link w:val="Funotentext"/>
    <w:uiPriority w:val="99"/>
    <w:semiHidden/>
    <w:rsid w:val="00BF427E"/>
    <w:rPr>
      <w:rFonts w:ascii="Times New Roman" w:hAnsi="Times New Roman" w:eastAsia="Times New Roman" w:cs="Times New Roman"/>
      <w:sz w:val="20"/>
      <w:szCs w:val="20"/>
    </w:rPr>
  </w:style>
  <w:style w:type="character" w:styleId="Funotenzeichen">
    <w:name w:val="footnote reference"/>
    <w:basedOn w:val="Absatz-Standardschriftart"/>
    <w:uiPriority w:val="99"/>
    <w:semiHidden/>
    <w:unhideWhenUsed/>
    <w:rsid w:val="00BF427E"/>
    <w:rPr>
      <w:vertAlign w:val="superscript"/>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widowControl/>
    </w:pPr>
    <w:tblPr>
      <w:tblStyleRowBandSize w:val="1"/>
      <w:tblStyleColBandSize w:val="1"/>
      <w:tblCellMar>
        <w:top w:w="57" w:type="dxa"/>
        <w:left w:w="108" w:type="dxa"/>
        <w:bottom w:w="85" w:type="dxa"/>
        <w:right w:w="108" w:type="dxa"/>
      </w:tblCellMar>
    </w:tblPr>
  </w:style>
  <w:style w:type="table" w:styleId="a0" w:customStyle="1">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7.png" Id="rId3" /><Relationship Type="http://schemas.openxmlformats.org/officeDocument/2006/relationships/image" Target="media/image1.png" Id="rId2" /><Relationship Type="http://schemas.openxmlformats.org/officeDocument/2006/relationships/image" Target="media/image3.png" Id="rId1" /><Relationship Type="http://schemas.openxmlformats.org/officeDocument/2006/relationships/image" Target="/media/image3.jpg" Id="Rb8ca761536764ddd" /><Relationship Type="http://schemas.openxmlformats.org/officeDocument/2006/relationships/image" Target="/media/image4.jpg" Id="R7129b2b188084580"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10.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MljMcBIvevz+2A3sWg++mOJWw==">AMUW2mX4TbB8J97KSh8V/duhplgV2NKjnVvH3IXw3Rnn4YUTMjQ3ZCatB5lYfNK+OcUoS8J0cVoZTTzbufBKonLGUUHxoRYO1Bx/xIb293Jpzu05H742PEE=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Monia Coppola</dc:creator>
  <lastModifiedBy>Torben Körner</lastModifiedBy>
  <revision>5</revision>
  <dcterms:created xsi:type="dcterms:W3CDTF">2022-12-16T14:35:00.0000000Z</dcterms:created>
  <dcterms:modified xsi:type="dcterms:W3CDTF">2024-01-31T12:33:53.7889285Z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