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7718" w:rsidR="0051620C" w:rsidP="009B5EBD" w:rsidRDefault="0051620C" w14:paraId="16DF3E01" w14:textId="77777777">
      <w:pPr>
        <w:pStyle w:val="Textkrper"/>
        <w:tabs>
          <w:tab w:val="left" w:pos="567"/>
          <w:tab w:val="left" w:pos="10773"/>
        </w:tabs>
        <w:ind w:left="-709" w:right="-427"/>
        <w:jc w:val="center"/>
        <w:rPr>
          <w:rFonts w:ascii="Helvetica neue" w:hAnsi="Helvetica neue" w:cstheme="minorHAnsi"/>
          <w:b/>
          <w:bCs/>
          <w:color w:val="AED738"/>
          <w:sz w:val="40"/>
          <w:szCs w:val="36"/>
        </w:rPr>
      </w:pPr>
      <w:r w:rsidRPr="00BD7718">
        <w:rPr>
          <w:rFonts w:ascii="Helvetica neue" w:hAnsi="Helvetica neue" w:cstheme="minorHAnsi"/>
          <w:b/>
          <w:bCs/>
          <w:color w:val="AED738"/>
          <w:sz w:val="40"/>
          <w:szCs w:val="36"/>
        </w:rPr>
        <w:t>Case study</w:t>
      </w:r>
      <w:r w:rsidRPr="00BD7718" w:rsidR="00A25E05">
        <w:rPr>
          <w:rFonts w:ascii="Helvetica neue" w:hAnsi="Helvetica neue" w:cstheme="minorHAnsi"/>
          <w:b/>
          <w:bCs/>
          <w:color w:val="AED738"/>
          <w:sz w:val="40"/>
          <w:szCs w:val="36"/>
        </w:rPr>
        <w:t>:</w:t>
      </w:r>
    </w:p>
    <w:p w:rsidRPr="00BD7718" w:rsidR="00367762" w:rsidP="009B5EBD" w:rsidRDefault="009B5EBD" w14:paraId="2A60A73F" w14:textId="5A6353BB">
      <w:pPr>
        <w:pStyle w:val="Textkrper"/>
        <w:tabs>
          <w:tab w:val="left" w:pos="567"/>
          <w:tab w:val="left" w:pos="10773"/>
        </w:tabs>
        <w:ind w:left="-709" w:right="-427"/>
        <w:jc w:val="center"/>
        <w:rPr>
          <w:rFonts w:ascii="Helvetica neue" w:hAnsi="Helvetica neue" w:cstheme="minorHAnsi"/>
          <w:b/>
          <w:bCs/>
          <w:color w:val="AED738"/>
          <w:sz w:val="40"/>
          <w:szCs w:val="36"/>
        </w:rPr>
      </w:pPr>
      <w:r w:rsidRPr="00BD7718">
        <w:rPr>
          <w:rFonts w:ascii="Helvetica neue" w:hAnsi="Helvetica neue" w:cstheme="minorHAnsi"/>
          <w:b/>
          <w:bCs/>
          <w:color w:val="AED738"/>
          <w:sz w:val="40"/>
          <w:szCs w:val="36"/>
        </w:rPr>
        <w:t>Gore-Tex</w:t>
      </w:r>
      <w:r w:rsidRPr="00BD7718">
        <w:rPr>
          <w:rFonts w:ascii="Arial" w:hAnsi="Arial" w:cs="Arial"/>
          <w:b/>
          <w:bCs/>
          <w:color w:val="AED738"/>
          <w:sz w:val="40"/>
          <w:szCs w:val="36"/>
          <w:vertAlign w:val="superscript"/>
        </w:rPr>
        <w:t>®</w:t>
      </w:r>
      <w:r w:rsidRPr="00BD7718">
        <w:rPr>
          <w:rFonts w:ascii="Helvetica neue" w:hAnsi="Helvetica neue" w:cstheme="minorHAnsi"/>
          <w:b/>
          <w:bCs/>
          <w:color w:val="AED738"/>
          <w:sz w:val="40"/>
          <w:szCs w:val="36"/>
        </w:rPr>
        <w:t xml:space="preserve">: Innovative </w:t>
      </w:r>
      <w:r w:rsidRPr="00BD7718" w:rsidR="00BD7718">
        <w:rPr>
          <w:rFonts w:ascii="Helvetica neue" w:hAnsi="Helvetica neue" w:cstheme="minorHAnsi"/>
          <w:b/>
          <w:bCs/>
          <w:color w:val="AED738"/>
          <w:sz w:val="40"/>
          <w:szCs w:val="36"/>
        </w:rPr>
        <w:t>organization</w:t>
      </w:r>
      <w:r w:rsidRPr="00BD7718">
        <w:rPr>
          <w:rFonts w:ascii="Helvetica neue" w:hAnsi="Helvetica neue" w:cstheme="minorHAnsi"/>
          <w:b/>
          <w:bCs/>
          <w:color w:val="AED738"/>
          <w:sz w:val="40"/>
          <w:szCs w:val="36"/>
        </w:rPr>
        <w:t xml:space="preserve"> and contemporary culture</w:t>
      </w:r>
    </w:p>
    <w:p w:rsidRPr="00BD7718"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BD7718"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BD7718" w:rsidR="00367762" w:rsidP="00E92B44" w:rsidRDefault="00367762" w14:paraId="727B59D1" w14:textId="77777777">
            <w:pPr>
              <w:rPr>
                <w:rFonts w:ascii="Helvetica neue" w:hAnsi="Helvetica neue" w:cstheme="minorHAnsi"/>
                <w:b/>
                <w:bCs/>
                <w:color w:val="FFFFFF" w:themeColor="background1"/>
                <w:lang w:val="en-US"/>
              </w:rPr>
            </w:pPr>
            <w:r w:rsidRPr="00BD7718">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rsidRPr="00BD7718" w:rsidR="00367762" w:rsidP="00E92B44" w:rsidRDefault="009B5EBD" w14:paraId="01319779" w14:textId="081E163C">
            <w:pPr>
              <w:rPr>
                <w:rFonts w:ascii="Helvetica neue" w:hAnsi="Helvetica neue" w:cstheme="minorHAnsi"/>
                <w:lang w:val="en-US"/>
              </w:rPr>
            </w:pPr>
            <w:r w:rsidRPr="00BD7718">
              <w:rPr>
                <w:rFonts w:ascii="Helvetica neue" w:hAnsi="Helvetica neue" w:cstheme="minorHAnsi"/>
                <w:lang w:val="en-US"/>
              </w:rPr>
              <w:t>Gore-Tex, intrapreneurial innovation</w:t>
            </w:r>
          </w:p>
        </w:tc>
      </w:tr>
      <w:tr w:rsidRPr="00BD7718"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BD7718" w:rsidR="00367762" w:rsidP="00E92B44" w:rsidRDefault="0051620C" w14:paraId="3D5C6F61" w14:textId="070DFD45">
            <w:pPr>
              <w:rPr>
                <w:rFonts w:ascii="Helvetica neue" w:hAnsi="Helvetica neue" w:cstheme="minorHAnsi"/>
                <w:b/>
                <w:bCs/>
                <w:color w:val="FFFFFF" w:themeColor="background1"/>
                <w:lang w:val="en-US" w:eastAsia="en-GB"/>
              </w:rPr>
            </w:pPr>
            <w:r w:rsidRPr="00BD7718">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rsidRPr="00BD7718" w:rsidR="00367762" w:rsidP="00E92B44" w:rsidRDefault="009B5EBD" w14:paraId="1E29AC1D" w14:textId="6E816960">
            <w:pPr>
              <w:rPr>
                <w:rFonts w:ascii="Helvetica neue" w:hAnsi="Helvetica neue" w:eastAsia="Calibri" w:cstheme="minorHAnsi"/>
                <w:lang w:val="en-US"/>
              </w:rPr>
            </w:pPr>
            <w:r w:rsidRPr="00BD7718">
              <w:rPr>
                <w:rFonts w:ascii="Helvetica neue" w:hAnsi="Helvetica neue" w:eastAsia="Calibri" w:cstheme="minorHAnsi"/>
                <w:lang w:val="en-US"/>
              </w:rPr>
              <w:t>University of Dubrovnik</w:t>
            </w:r>
          </w:p>
        </w:tc>
      </w:tr>
      <w:tr w:rsidRPr="00BD7718"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BD7718" w:rsidR="00367762" w:rsidP="00E92B44" w:rsidRDefault="0051620C" w14:paraId="242772F7" w14:textId="22389382">
            <w:pPr>
              <w:rPr>
                <w:rFonts w:ascii="Helvetica neue" w:hAnsi="Helvetica neue" w:cstheme="minorHAnsi"/>
                <w:b/>
                <w:bCs/>
                <w:color w:val="FFFFFF" w:themeColor="background1"/>
                <w:lang w:val="en-US" w:eastAsia="en-GB"/>
              </w:rPr>
            </w:pPr>
            <w:r w:rsidRPr="00BD7718">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rsidRPr="00BD7718" w:rsidR="00367762" w:rsidP="00E92B44" w:rsidRDefault="0051620C" w14:paraId="18723BA9" w14:textId="7BD94C2D">
            <w:pPr>
              <w:rPr>
                <w:rFonts w:ascii="Helvetica neue" w:hAnsi="Helvetica neue" w:eastAsia="Calibri" w:cstheme="minorHAnsi"/>
                <w:lang w:val="en-US"/>
              </w:rPr>
            </w:pPr>
            <w:r w:rsidRPr="00BD7718">
              <w:rPr>
                <w:rFonts w:ascii="Helvetica neue" w:hAnsi="Helvetica neue" w:eastAsia="Calibri" w:cstheme="minorHAnsi"/>
                <w:lang w:val="en-US"/>
              </w:rPr>
              <w:t>English</w:t>
            </w:r>
          </w:p>
        </w:tc>
      </w:tr>
      <w:tr w:rsidRPr="00BD7718"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BD7718" w:rsidR="0051620C" w:rsidP="00E92B44" w:rsidRDefault="0051620C" w14:paraId="6142E15C" w14:textId="388AEA7B">
            <w:pPr>
              <w:jc w:val="both"/>
              <w:textAlignment w:val="baseline"/>
              <w:rPr>
                <w:rFonts w:ascii="Helvetica neue" w:hAnsi="Helvetica neue" w:cstheme="minorHAnsi"/>
                <w:b/>
                <w:bCs/>
                <w:lang w:val="en-US" w:eastAsia="en-GB"/>
              </w:rPr>
            </w:pPr>
            <w:r w:rsidRPr="00BD7718">
              <w:rPr>
                <w:rFonts w:ascii="Helvetica neue" w:hAnsi="Helvetica neue" w:cstheme="minorHAnsi"/>
                <w:b/>
                <w:bCs/>
                <w:color w:val="FFFFFF" w:themeColor="background1"/>
                <w:lang w:val="en-US" w:eastAsia="en-GB"/>
              </w:rPr>
              <w:t>Case study</w:t>
            </w:r>
          </w:p>
        </w:tc>
      </w:tr>
      <w:tr w:rsidRPr="00BD7718"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BD7718" w:rsidR="009B5EBD" w:rsidP="009B5EBD" w:rsidRDefault="009B5EBD" w14:paraId="6A456A15" w14:textId="781C482B">
            <w:pPr>
              <w:pStyle w:val="Listenabsatz"/>
              <w:rPr>
                <w:rFonts w:ascii="Helvetica neue" w:hAnsi="Helvetica neue" w:cstheme="minorHAnsi"/>
                <w:lang w:val="en-US" w:eastAsia="en-GB"/>
              </w:rPr>
            </w:pPr>
            <w:r w:rsidRPr="00BD7718">
              <w:rPr>
                <w:rFonts w:ascii="Helvetica neue" w:hAnsi="Helvetica neue" w:cstheme="minorHAnsi"/>
                <w:lang w:val="en-US" w:eastAsia="en-GB"/>
              </w:rPr>
              <w:t xml:space="preserve">This case study explores the role of </w:t>
            </w:r>
            <w:r w:rsidRPr="00BD7718" w:rsidR="00BD7718">
              <w:rPr>
                <w:rFonts w:ascii="Helvetica neue" w:hAnsi="Helvetica neue" w:cstheme="minorHAnsi"/>
                <w:lang w:val="en-US" w:eastAsia="en-GB"/>
              </w:rPr>
              <w:t>organizational</w:t>
            </w:r>
            <w:r w:rsidRPr="00BD7718">
              <w:rPr>
                <w:rFonts w:ascii="Helvetica neue" w:hAnsi="Helvetica neue" w:cstheme="minorHAnsi"/>
                <w:lang w:val="en-US" w:eastAsia="en-GB"/>
              </w:rPr>
              <w:t xml:space="preserve"> management and culture within highly innovative </w:t>
            </w:r>
            <w:r w:rsidRPr="00BD7718" w:rsidR="00BD7718">
              <w:rPr>
                <w:rFonts w:ascii="Helvetica neue" w:hAnsi="Helvetica neue" w:cstheme="minorHAnsi"/>
                <w:lang w:val="en-US" w:eastAsia="en-GB"/>
              </w:rPr>
              <w:t>organization</w:t>
            </w:r>
            <w:r w:rsidRPr="00BD7718">
              <w:rPr>
                <w:rFonts w:ascii="Helvetica neue" w:hAnsi="Helvetica neue" w:cstheme="minorHAnsi"/>
                <w:lang w:val="en-US" w:eastAsia="en-GB"/>
              </w:rPr>
              <w:t xml:space="preserve"> W.L.Gore and associates, known for many of its products such as famous Gore-Tex fabrics that makes our clothes dry and lets skin to breathe. The </w:t>
            </w:r>
            <w:r w:rsidRPr="00BD7718" w:rsidR="00BD7718">
              <w:rPr>
                <w:rFonts w:ascii="Helvetica neue" w:hAnsi="Helvetica neue" w:cstheme="minorHAnsi"/>
                <w:lang w:val="en-US" w:eastAsia="en-GB"/>
              </w:rPr>
              <w:t>organization</w:t>
            </w:r>
            <w:r w:rsidRPr="00BD7718">
              <w:rPr>
                <w:rFonts w:ascii="Helvetica neue" w:hAnsi="Helvetica neue" w:cstheme="minorHAnsi"/>
                <w:lang w:val="en-US" w:eastAsia="en-GB"/>
              </w:rPr>
              <w:t xml:space="preserve"> values anti-management style with its employees participating in ownership, </w:t>
            </w:r>
            <w:r w:rsidRPr="00BD7718" w:rsidR="00BD7718">
              <w:rPr>
                <w:rFonts w:ascii="Helvetica neue" w:hAnsi="Helvetica neue" w:cstheme="minorHAnsi"/>
                <w:lang w:val="en-US" w:eastAsia="en-GB"/>
              </w:rPr>
              <w:t>minimizing</w:t>
            </w:r>
            <w:r w:rsidRPr="00BD7718">
              <w:rPr>
                <w:rFonts w:ascii="Helvetica neue" w:hAnsi="Helvetica neue" w:cstheme="minorHAnsi"/>
                <w:lang w:val="en-US" w:eastAsia="en-GB"/>
              </w:rPr>
              <w:t xml:space="preserve"> of management and </w:t>
            </w:r>
            <w:r w:rsidRPr="00BD7718" w:rsidR="00BD7718">
              <w:rPr>
                <w:rFonts w:ascii="Helvetica neue" w:hAnsi="Helvetica neue" w:cstheme="minorHAnsi"/>
                <w:lang w:val="en-US" w:eastAsia="en-GB"/>
              </w:rPr>
              <w:t>emphasizing</w:t>
            </w:r>
            <w:r w:rsidRPr="00BD7718">
              <w:rPr>
                <w:rFonts w:ascii="Helvetica neue" w:hAnsi="Helvetica neue" w:cstheme="minorHAnsi"/>
                <w:lang w:val="en-US" w:eastAsia="en-GB"/>
              </w:rPr>
              <w:t xml:space="preserve"> action and creativity. Company employs over 7000 associates at 45 locations across the world. It is often praised as </w:t>
            </w:r>
            <w:r w:rsidRPr="00BD7718" w:rsidR="00BD7718">
              <w:rPr>
                <w:rFonts w:ascii="Helvetica neue" w:hAnsi="Helvetica neue" w:cstheme="minorHAnsi"/>
                <w:lang w:val="en-US" w:eastAsia="en-GB"/>
              </w:rPr>
              <w:t>role model</w:t>
            </w:r>
            <w:r w:rsidRPr="00BD7718">
              <w:rPr>
                <w:rFonts w:ascii="Helvetica neue" w:hAnsi="Helvetica neue" w:cstheme="minorHAnsi"/>
                <w:lang w:val="en-US" w:eastAsia="en-GB"/>
              </w:rPr>
              <w:t xml:space="preserve"> of innovation management. </w:t>
            </w:r>
          </w:p>
          <w:p w:rsidRPr="00BD7718" w:rsidR="009B5EBD" w:rsidP="009B5EBD" w:rsidRDefault="009B5EBD" w14:paraId="1AD9BA75" w14:textId="77777777">
            <w:pPr>
              <w:pStyle w:val="Listenabsatz"/>
              <w:rPr>
                <w:rFonts w:ascii="Helvetica neue" w:hAnsi="Helvetica neue" w:cstheme="minorHAnsi"/>
                <w:lang w:val="en-US" w:eastAsia="en-GB"/>
              </w:rPr>
            </w:pPr>
          </w:p>
          <w:p w:rsidRPr="00BD7718" w:rsidR="009B5EBD" w:rsidP="009B5EBD" w:rsidRDefault="009B5EBD" w14:paraId="04038571" w14:textId="18C7E1DC">
            <w:pPr>
              <w:pStyle w:val="Listenabsatz"/>
              <w:rPr>
                <w:rFonts w:ascii="Helvetica neue" w:hAnsi="Helvetica neue" w:cstheme="minorHAnsi"/>
                <w:lang w:val="en-US" w:eastAsia="en-GB"/>
              </w:rPr>
            </w:pPr>
            <w:r w:rsidRPr="00BD7718">
              <w:rPr>
                <w:rFonts w:ascii="Helvetica neue" w:hAnsi="Helvetica neue" w:cstheme="minorHAnsi"/>
                <w:lang w:val="en-US" w:eastAsia="en-GB"/>
              </w:rPr>
              <w:t xml:space="preserve">The company encourages innovation by including those closely involved in project in decision-making. Teams are </w:t>
            </w:r>
            <w:r w:rsidRPr="00BD7718" w:rsidR="00BD7718">
              <w:rPr>
                <w:rFonts w:ascii="Helvetica neue" w:hAnsi="Helvetica neue" w:cstheme="minorHAnsi"/>
                <w:lang w:val="en-US" w:eastAsia="en-GB"/>
              </w:rPr>
              <w:t>organized</w:t>
            </w:r>
            <w:r w:rsidRPr="00BD7718">
              <w:rPr>
                <w:rFonts w:ascii="Helvetica neue" w:hAnsi="Helvetica neue" w:cstheme="minorHAnsi"/>
                <w:lang w:val="en-US" w:eastAsia="en-GB"/>
              </w:rPr>
              <w:t xml:space="preserve"> and leaders chosen around opportunities. The </w:t>
            </w:r>
            <w:r w:rsidRPr="00BD7718" w:rsidR="00BD7718">
              <w:rPr>
                <w:rFonts w:ascii="Helvetica neue" w:hAnsi="Helvetica neue" w:cstheme="minorHAnsi"/>
                <w:lang w:val="en-US" w:eastAsia="en-GB"/>
              </w:rPr>
              <w:t>organization</w:t>
            </w:r>
            <w:r w:rsidRPr="00BD7718">
              <w:rPr>
                <w:rFonts w:ascii="Helvetica neue" w:hAnsi="Helvetica neue" w:cstheme="minorHAnsi"/>
                <w:lang w:val="en-US" w:eastAsia="en-GB"/>
              </w:rPr>
              <w:t xml:space="preserve"> relies on flat </w:t>
            </w:r>
            <w:r w:rsidRPr="00BD7718" w:rsidR="00BD7718">
              <w:rPr>
                <w:rFonts w:ascii="Helvetica neue" w:hAnsi="Helvetica neue" w:cstheme="minorHAnsi"/>
                <w:lang w:val="en-US" w:eastAsia="en-GB"/>
              </w:rPr>
              <w:t>organizational</w:t>
            </w:r>
            <w:r w:rsidRPr="00BD7718">
              <w:rPr>
                <w:rFonts w:ascii="Helvetica neue" w:hAnsi="Helvetica neue" w:cstheme="minorHAnsi"/>
                <w:lang w:val="en-US" w:eastAsia="en-GB"/>
              </w:rPr>
              <w:t xml:space="preserve"> structure without decision making chains or predefined communication channels. Multidisciplinary team members communicate directly and report to their members. New employees are led by sponsors and directed through understanding of opportunities and aims towards projects that match their skills. The path to lead and define project is open to anyone. Associates are assisted by sponsors in efforts to achieve personal fulfilment in making contribution to enterprise. Leaders emerge through demonstration of unique knowledge, skills or experience that contributes to the business goal. Associates are dedicated to four main aims: freedom of encouragement, assistance, growing jointly through knowledge, fairness, responsibility and consultation with other associates. </w:t>
            </w:r>
          </w:p>
          <w:p w:rsidRPr="00BD7718" w:rsidR="009B5EBD" w:rsidP="009B5EBD" w:rsidRDefault="009B5EBD" w14:paraId="0F035C04" w14:textId="77777777">
            <w:pPr>
              <w:pStyle w:val="Listenabsatz"/>
              <w:rPr>
                <w:rFonts w:ascii="Helvetica neue" w:hAnsi="Helvetica neue" w:cstheme="minorHAnsi"/>
                <w:lang w:val="en-US" w:eastAsia="en-GB"/>
              </w:rPr>
            </w:pPr>
          </w:p>
          <w:p w:rsidRPr="00BD7718" w:rsidR="009B5EBD" w:rsidP="009B5EBD" w:rsidRDefault="00BD7718" w14:paraId="1623036A" w14:textId="4B7B3465">
            <w:pPr>
              <w:pStyle w:val="Listenabsatz"/>
              <w:rPr>
                <w:rFonts w:ascii="Helvetica neue" w:hAnsi="Helvetica neue" w:cstheme="minorHAnsi"/>
                <w:lang w:val="en-US" w:eastAsia="en-GB"/>
              </w:rPr>
            </w:pPr>
            <w:r w:rsidRPr="00BD7718">
              <w:rPr>
                <w:rFonts w:ascii="Helvetica neue" w:hAnsi="Helvetica neue" w:cstheme="minorHAnsi"/>
                <w:lang w:val="en-US" w:eastAsia="en-GB"/>
              </w:rPr>
              <w:t>Organizational</w:t>
            </w:r>
            <w:r w:rsidRPr="00BD7718" w:rsidR="009B5EBD">
              <w:rPr>
                <w:rFonts w:ascii="Helvetica neue" w:hAnsi="Helvetica neue" w:cstheme="minorHAnsi"/>
                <w:lang w:val="en-US" w:eastAsia="en-GB"/>
              </w:rPr>
              <w:t xml:space="preserve"> culture aims to avoid limiting creativity through conventional hierarchy. Employees are given considerable freedom in following corporate opportunities and each individual has three sponsors: one to ensure that each work effort is acknowledged, another to ensure appropriate compensation and third to introduce individual with </w:t>
            </w:r>
            <w:r w:rsidRPr="00BD7718">
              <w:rPr>
                <w:rFonts w:ascii="Helvetica neue" w:hAnsi="Helvetica neue" w:cstheme="minorHAnsi"/>
                <w:lang w:val="en-US" w:eastAsia="en-GB"/>
              </w:rPr>
              <w:t>organization</w:t>
            </w:r>
            <w:r w:rsidRPr="00BD7718" w:rsidR="009B5EBD">
              <w:rPr>
                <w:rFonts w:ascii="Helvetica neue" w:hAnsi="Helvetica neue" w:cstheme="minorHAnsi"/>
                <w:lang w:val="en-US" w:eastAsia="en-GB"/>
              </w:rPr>
              <w:t xml:space="preserve">. All three functions may be performed by a single person. Through flexible </w:t>
            </w:r>
            <w:r w:rsidRPr="00BD7718">
              <w:rPr>
                <w:rFonts w:ascii="Helvetica neue" w:hAnsi="Helvetica neue" w:cstheme="minorHAnsi"/>
                <w:lang w:val="en-US" w:eastAsia="en-GB"/>
              </w:rPr>
              <w:t>program</w:t>
            </w:r>
            <w:r w:rsidRPr="00BD7718" w:rsidR="009B5EBD">
              <w:rPr>
                <w:rFonts w:ascii="Helvetica neue" w:hAnsi="Helvetica neue" w:cstheme="minorHAnsi"/>
                <w:lang w:val="en-US" w:eastAsia="en-GB"/>
              </w:rPr>
              <w:t xml:space="preserve"> </w:t>
            </w:r>
            <w:r w:rsidRPr="00BD7718">
              <w:rPr>
                <w:rFonts w:ascii="Helvetica neue" w:hAnsi="Helvetica neue" w:cstheme="minorHAnsi"/>
                <w:lang w:val="en-US" w:eastAsia="en-GB"/>
              </w:rPr>
              <w:t>organization</w:t>
            </w:r>
            <w:r w:rsidRPr="00BD7718" w:rsidR="009B5EBD">
              <w:rPr>
                <w:rFonts w:ascii="Helvetica neue" w:hAnsi="Helvetica neue" w:cstheme="minorHAnsi"/>
                <w:lang w:val="en-US" w:eastAsia="en-GB"/>
              </w:rPr>
              <w:t xml:space="preserve"> </w:t>
            </w:r>
            <w:r w:rsidRPr="00BD7718">
              <w:rPr>
                <w:rFonts w:ascii="Helvetica neue" w:hAnsi="Helvetica neue" w:cstheme="minorHAnsi"/>
                <w:lang w:val="en-US" w:eastAsia="en-GB"/>
              </w:rPr>
              <w:t>maximizes</w:t>
            </w:r>
            <w:r w:rsidRPr="00BD7718" w:rsidR="009B5EBD">
              <w:rPr>
                <w:rFonts w:ascii="Helvetica neue" w:hAnsi="Helvetica neue" w:cstheme="minorHAnsi"/>
                <w:lang w:val="en-US" w:eastAsia="en-GB"/>
              </w:rPr>
              <w:t xml:space="preserve"> fairness and freedom of its employees. </w:t>
            </w:r>
            <w:r w:rsidRPr="00BD7718">
              <w:rPr>
                <w:rFonts w:ascii="Helvetica neue" w:hAnsi="Helvetica neue" w:cstheme="minorHAnsi"/>
                <w:lang w:val="en-US" w:eastAsia="en-GB"/>
              </w:rPr>
              <w:t>Organization</w:t>
            </w:r>
            <w:r w:rsidRPr="00BD7718" w:rsidR="009B5EBD">
              <w:rPr>
                <w:rFonts w:ascii="Helvetica neue" w:hAnsi="Helvetica neue" w:cstheme="minorHAnsi"/>
                <w:lang w:val="en-US" w:eastAsia="en-GB"/>
              </w:rPr>
              <w:t xml:space="preserve"> believes that right environment ensures that there are no limits to what individuals can achieve. It gives employees opportunity to rely on own judgment, project selection and direct approach to resources. On the top of that, departments can not exceed size of 200 employees in order to maintain intimacy and ease of communication in small workgroups. </w:t>
            </w:r>
          </w:p>
          <w:p w:rsidRPr="00BD7718" w:rsidR="009B5EBD" w:rsidP="009B5EBD" w:rsidRDefault="009B5EBD" w14:paraId="54268E3D" w14:textId="77777777">
            <w:pPr>
              <w:pStyle w:val="Listenabsatz"/>
              <w:rPr>
                <w:rFonts w:ascii="Helvetica neue" w:hAnsi="Helvetica neue" w:cstheme="minorHAnsi"/>
                <w:lang w:val="en-US" w:eastAsia="en-GB"/>
              </w:rPr>
            </w:pPr>
          </w:p>
          <w:p w:rsidRPr="00BD7718" w:rsidR="009B5EBD" w:rsidP="009B5EBD" w:rsidRDefault="009B5EBD" w14:paraId="5846B84C" w14:textId="0EA6B231">
            <w:pPr>
              <w:pStyle w:val="Listenabsatz"/>
              <w:rPr>
                <w:rFonts w:ascii="Helvetica neue" w:hAnsi="Helvetica neue" w:cstheme="minorHAnsi"/>
                <w:lang w:val="en-US" w:eastAsia="en-GB"/>
              </w:rPr>
            </w:pPr>
            <w:r w:rsidRPr="00BD7718">
              <w:rPr>
                <w:rFonts w:ascii="Helvetica neue" w:hAnsi="Helvetica neue" w:cstheme="minorHAnsi"/>
                <w:lang w:val="en-US" w:eastAsia="en-GB"/>
              </w:rPr>
              <w:t xml:space="preserve">The study shows which characteristics are required for innovation to emerge. Unique </w:t>
            </w:r>
            <w:r w:rsidRPr="00BD7718" w:rsidR="00BD7718">
              <w:rPr>
                <w:rFonts w:ascii="Helvetica neue" w:hAnsi="Helvetica neue" w:cstheme="minorHAnsi"/>
                <w:lang w:val="en-US" w:eastAsia="en-GB"/>
              </w:rPr>
              <w:t>organizational</w:t>
            </w:r>
            <w:r w:rsidRPr="00BD7718">
              <w:rPr>
                <w:rFonts w:ascii="Helvetica neue" w:hAnsi="Helvetica neue" w:cstheme="minorHAnsi"/>
                <w:lang w:val="en-US" w:eastAsia="en-GB"/>
              </w:rPr>
              <w:t xml:space="preserve"> model helps to unleash creativity and encourage teamwork in intrapreneurial </w:t>
            </w:r>
            <w:r w:rsidRPr="00BD7718">
              <w:rPr>
                <w:rFonts w:ascii="Helvetica neue" w:hAnsi="Helvetica neue" w:cstheme="minorHAnsi"/>
                <w:lang w:val="en-US" w:eastAsia="en-GB"/>
              </w:rPr>
              <w:lastRenderedPageBreak/>
              <w:t xml:space="preserve">environment and ensures maximal freedom and support to employees. Many of its </w:t>
            </w:r>
            <w:r w:rsidRPr="00BD7718" w:rsidR="00BD7718">
              <w:rPr>
                <w:rFonts w:ascii="Helvetica neue" w:hAnsi="Helvetica neue" w:cstheme="minorHAnsi"/>
                <w:lang w:val="en-US" w:eastAsia="en-GB"/>
              </w:rPr>
              <w:t>organizational</w:t>
            </w:r>
            <w:r w:rsidRPr="00BD7718">
              <w:rPr>
                <w:rFonts w:ascii="Helvetica neue" w:hAnsi="Helvetica neue" w:cstheme="minorHAnsi"/>
                <w:lang w:val="en-US" w:eastAsia="en-GB"/>
              </w:rPr>
              <w:t xml:space="preserve"> characteristics are present also in other firms such as 3M, Hewlett Packard etc. </w:t>
            </w:r>
          </w:p>
          <w:p w:rsidRPr="00BD7718" w:rsidR="0051620C" w:rsidP="009B5EBD" w:rsidRDefault="009B5EBD" w14:paraId="19EC177C" w14:textId="2260413C">
            <w:pPr>
              <w:pStyle w:val="Listenabsatz"/>
              <w:rPr>
                <w:rFonts w:ascii="Helvetica neue" w:hAnsi="Helvetica neue" w:cstheme="minorHAnsi"/>
                <w:lang w:val="en-US" w:eastAsia="en-GB"/>
              </w:rPr>
            </w:pPr>
            <w:r w:rsidRPr="00BD7718">
              <w:rPr>
                <w:rFonts w:ascii="Helvetica neue" w:hAnsi="Helvetica neue" w:cstheme="minorHAnsi"/>
                <w:lang w:val="en-US" w:eastAsia="en-GB"/>
              </w:rPr>
              <w:t>Several characteristics help this firm to maintain its success. i) Innovation heritage helps to develop superior products. ii) Small teams facilitate communication one-to-one that eases informed decision-making. iii) Communication channels are open as employees from different teams can freely meet and talk about projects, problems and successes. iv) organi</w:t>
            </w:r>
            <w:r w:rsidR="00BD7718">
              <w:rPr>
                <w:rFonts w:ascii="Helvetica neue" w:hAnsi="Helvetica neue" w:cstheme="minorHAnsi"/>
                <w:lang w:val="en-US" w:eastAsia="en-GB"/>
              </w:rPr>
              <w:t>z</w:t>
            </w:r>
            <w:r w:rsidRPr="00BD7718">
              <w:rPr>
                <w:rFonts w:ascii="Helvetica neue" w:hAnsi="Helvetica neue" w:cstheme="minorHAnsi"/>
                <w:lang w:val="en-US" w:eastAsia="en-GB"/>
              </w:rPr>
              <w:t xml:space="preserve">ation believes that co-ownership by employees improves their level of dedication.  </w:t>
            </w:r>
          </w:p>
          <w:p w:rsidRPr="00BD7718" w:rsidR="0051620C" w:rsidP="00F051B8" w:rsidRDefault="0051620C" w14:paraId="15746645" w14:textId="1FB8A8F4">
            <w:pPr>
              <w:textAlignment w:val="baseline"/>
              <w:rPr>
                <w:rFonts w:ascii="Helvetica neue" w:hAnsi="Helvetica neue" w:cstheme="minorHAnsi"/>
                <w:b/>
                <w:bCs/>
                <w:lang w:val="en-US" w:eastAsia="en-GB"/>
              </w:rPr>
            </w:pPr>
          </w:p>
        </w:tc>
      </w:tr>
      <w:tr w:rsidRPr="00BD7718"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BD7718" w:rsidR="00367762" w:rsidP="00E92B44" w:rsidRDefault="0051620C" w14:paraId="41D370F8" w14:textId="795C765C">
            <w:pPr>
              <w:rPr>
                <w:rFonts w:ascii="Helvetica neue" w:hAnsi="Helvetica neue" w:cstheme="minorHAnsi"/>
                <w:b/>
                <w:bCs/>
                <w:color w:val="FFFFFF" w:themeColor="background1"/>
                <w:lang w:val="en-US" w:eastAsia="en-GB"/>
              </w:rPr>
            </w:pPr>
            <w:r w:rsidRPr="00BD7718">
              <w:rPr>
                <w:rFonts w:ascii="Helvetica neue" w:hAnsi="Helvetica neue" w:cstheme="minorHAnsi"/>
                <w:b/>
                <w:bCs/>
                <w:color w:val="FFFFFF" w:themeColor="background1"/>
                <w:lang w:val="en-US" w:eastAsia="en-GB"/>
              </w:rPr>
              <w:lastRenderedPageBreak/>
              <w:t>Reference</w:t>
            </w:r>
          </w:p>
        </w:tc>
        <w:tc>
          <w:tcPr>
            <w:tcW w:w="6642" w:type="dxa"/>
            <w:tcBorders>
              <w:top w:val="single" w:color="4D94B7" w:sz="4" w:space="0"/>
            </w:tcBorders>
            <w:shd w:val="clear" w:color="auto" w:fill="FFFFFF" w:themeFill="background1"/>
          </w:tcPr>
          <w:p w:rsidRPr="00BD7718" w:rsidR="00367762" w:rsidP="0051620C" w:rsidRDefault="003F7CB8" w14:paraId="67A1AE46" w14:textId="2B568508">
            <w:pPr>
              <w:textAlignment w:val="baseline"/>
              <w:rPr>
                <w:rFonts w:ascii="Helvetica neue" w:hAnsi="Helvetica neue" w:cstheme="minorHAnsi"/>
                <w:lang w:val="en-US" w:eastAsia="en-GB"/>
              </w:rPr>
            </w:pPr>
            <w:r w:rsidRPr="003F7CB8">
              <w:rPr>
                <w:rFonts w:ascii="Helvetica neue" w:hAnsi="Helvetica neue" w:cstheme="minorHAnsi"/>
                <w:lang w:val="en-US" w:eastAsia="en-GB"/>
              </w:rPr>
              <w:t>Trott, P. (2018). Innovation Management and New Product Development. 6th edition. Pearson</w:t>
            </w:r>
          </w:p>
        </w:tc>
      </w:tr>
    </w:tbl>
    <w:p w:rsidRPr="00BD7718" w:rsidR="00FF7BD6" w:rsidP="00E92B44" w:rsidRDefault="00FF7BD6" w14:paraId="70A5E1B6" w14:textId="77777777">
      <w:pPr>
        <w:pStyle w:val="Textkrper"/>
        <w:rPr>
          <w:rFonts w:ascii="Helvetica neue" w:hAnsi="Helvetica neue"/>
        </w:rPr>
      </w:pPr>
    </w:p>
    <w:p w:rsidRPr="00BD7718" w:rsidR="00B77D0D" w:rsidP="00E92B44" w:rsidRDefault="00B77D0D" w14:paraId="1D7A6CEB" w14:textId="77777777">
      <w:pPr>
        <w:pStyle w:val="Textkrper"/>
        <w:rPr>
          <w:rFonts w:ascii="Helvetica neue" w:hAnsi="Helvetica neue"/>
        </w:rPr>
      </w:pPr>
    </w:p>
    <w:sectPr w:rsidRPr="00BD7718" w:rsidR="00B77D0D" w:rsidSect="009248D3">
      <w:headerReference w:type="default" r:id="rId7"/>
      <w:footerReference w:type="default" r:id="rId8"/>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948" w:rsidP="00B77D0D" w:rsidRDefault="00671948" w14:paraId="3268075A" w14:textId="77777777">
      <w:r>
        <w:separator/>
      </w:r>
    </w:p>
  </w:endnote>
  <w:endnote w:type="continuationSeparator" w:id="0">
    <w:p w:rsidR="00671948" w:rsidP="00B77D0D" w:rsidRDefault="00671948" w14:paraId="7612B9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064C9591" w14:paraId="67534BAE" w14:textId="77777777">
      <w:tc>
        <w:tcPr>
          <w:tcW w:w="3180" w:type="dxa"/>
          <w:tcMar/>
        </w:tcPr>
        <w:p w:rsidRPr="00403D96" w:rsidR="00403D96" w:rsidP="00403D96" w:rsidRDefault="00403D96" w14:paraId="223DE6AB" w14:textId="7E87D4EC">
          <w:pPr>
            <w:pStyle w:val="Fuzeile"/>
          </w:pPr>
          <w:r w:rsidR="064C9591">
            <w:drawing>
              <wp:inline wp14:editId="064C9591" wp14:anchorId="109E8522">
                <wp:extent cx="1885950" cy="400050"/>
                <wp:effectExtent l="0" t="0" r="0" b="0"/>
                <wp:docPr id="927654201" name="" title=""/>
                <wp:cNvGraphicFramePr>
                  <a:graphicFrameLocks noChangeAspect="1"/>
                </wp:cNvGraphicFramePr>
                <a:graphic>
                  <a:graphicData uri="http://schemas.openxmlformats.org/drawingml/2006/picture">
                    <pic:pic>
                      <pic:nvPicPr>
                        <pic:cNvPr id="0" name=""/>
                        <pic:cNvPicPr/>
                      </pic:nvPicPr>
                      <pic:blipFill>
                        <a:blip r:embed="R89330cb25fc0496f">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064C9591" w:rsidRDefault="00403D96" w14:paraId="056A3FFF" w14:textId="0E7F91D9">
          <w:pPr>
            <w:pStyle w:val="Fuzeile"/>
            <w:widowControl w:val="0"/>
            <w:tabs>
              <w:tab w:val="center" w:leader="none" w:pos="4252"/>
              <w:tab w:val="right" w:leader="none" w:pos="8504"/>
            </w:tabs>
            <w:rPr>
              <w:sz w:val="16"/>
              <w:szCs w:val="16"/>
            </w:rPr>
          </w:pPr>
          <w:r w:rsidRPr="064C9591" w:rsidR="064C9591">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1C17F42E">
          <w:pPr>
            <w:pStyle w:val="Fuzeile"/>
          </w:pPr>
          <w:r w:rsidR="064C9591">
            <w:drawing>
              <wp:inline wp14:editId="4D1745CF" wp14:anchorId="450C8C04">
                <wp:extent cx="1009650" cy="352425"/>
                <wp:effectExtent l="0" t="0" r="0" b="0"/>
                <wp:docPr id="685659025" name="" title=""/>
                <wp:cNvGraphicFramePr>
                  <a:graphicFrameLocks noChangeAspect="1"/>
                </wp:cNvGraphicFramePr>
                <a:graphic>
                  <a:graphicData uri="http://schemas.openxmlformats.org/drawingml/2006/picture">
                    <pic:pic>
                      <pic:nvPicPr>
                        <pic:cNvPr id="0" name=""/>
                        <pic:cNvPicPr/>
                      </pic:nvPicPr>
                      <pic:blipFill>
                        <a:blip r:embed="Reffd4f0598014b51">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948" w:rsidP="00B77D0D" w:rsidRDefault="00671948" w14:paraId="067B3EF9" w14:textId="77777777">
      <w:r>
        <w:separator/>
      </w:r>
    </w:p>
  </w:footnote>
  <w:footnote w:type="continuationSeparator" w:id="0">
    <w:p w:rsidR="00671948" w:rsidP="00B77D0D" w:rsidRDefault="00671948" w14:paraId="411D67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7CEA"/>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865D2"/>
    <w:rsid w:val="002D275E"/>
    <w:rsid w:val="003441DD"/>
    <w:rsid w:val="00367762"/>
    <w:rsid w:val="0037488C"/>
    <w:rsid w:val="003C16FF"/>
    <w:rsid w:val="003D13EC"/>
    <w:rsid w:val="003F7CB8"/>
    <w:rsid w:val="00403D96"/>
    <w:rsid w:val="00404410"/>
    <w:rsid w:val="004369A0"/>
    <w:rsid w:val="00467D9D"/>
    <w:rsid w:val="004B10DB"/>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71948"/>
    <w:rsid w:val="006B4332"/>
    <w:rsid w:val="006C06AD"/>
    <w:rsid w:val="007117B3"/>
    <w:rsid w:val="007E413D"/>
    <w:rsid w:val="007E6542"/>
    <w:rsid w:val="008276F3"/>
    <w:rsid w:val="00835174"/>
    <w:rsid w:val="0085205A"/>
    <w:rsid w:val="00853A2D"/>
    <w:rsid w:val="00857167"/>
    <w:rsid w:val="00884B7D"/>
    <w:rsid w:val="008E08F1"/>
    <w:rsid w:val="009248D3"/>
    <w:rsid w:val="009750CD"/>
    <w:rsid w:val="009843CB"/>
    <w:rsid w:val="00986C6F"/>
    <w:rsid w:val="009A443E"/>
    <w:rsid w:val="009B5EBD"/>
    <w:rsid w:val="009F0523"/>
    <w:rsid w:val="00A13E50"/>
    <w:rsid w:val="00A1516C"/>
    <w:rsid w:val="00A21F30"/>
    <w:rsid w:val="00A2519C"/>
    <w:rsid w:val="00A25E05"/>
    <w:rsid w:val="00A949C0"/>
    <w:rsid w:val="00AA0C9E"/>
    <w:rsid w:val="00AC71EF"/>
    <w:rsid w:val="00AE11D4"/>
    <w:rsid w:val="00AF6C19"/>
    <w:rsid w:val="00B217DC"/>
    <w:rsid w:val="00B34F9F"/>
    <w:rsid w:val="00B40CAE"/>
    <w:rsid w:val="00B61BC4"/>
    <w:rsid w:val="00B77D0D"/>
    <w:rsid w:val="00B82763"/>
    <w:rsid w:val="00BA5E80"/>
    <w:rsid w:val="00BD7718"/>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3DE1820"/>
    <w:rsid w:val="0579E881"/>
    <w:rsid w:val="064C9591"/>
    <w:rsid w:val="254E9C8E"/>
    <w:rsid w:val="52092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89330cb25fc0496f" /><Relationship Type="http://schemas.openxmlformats.org/officeDocument/2006/relationships/image" Target="/media/image4.jpg" Id="Reffd4f0598014b51"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7</revision>
  <lastPrinted>2022-11-25T11:56:00.0000000Z</lastPrinted>
  <dcterms:created xsi:type="dcterms:W3CDTF">2022-11-28T14:30:00.0000000Z</dcterms:created>
  <dcterms:modified xsi:type="dcterms:W3CDTF">2024-01-31T12:23:02.1170888Z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