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33D9" w:rsidR="008D4D5F" w:rsidRDefault="004633D9" w14:paraId="22A91B30" w14:textId="77777777">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4633D9">
        <w:rPr>
          <w:rFonts w:ascii="Helvetica neue" w:hAnsi="Helvetica neue" w:cstheme="minorHAnsi"/>
          <w:b/>
          <w:bCs/>
          <w:color w:val="AED738"/>
          <w:sz w:val="40"/>
          <w:szCs w:val="36"/>
          <w:lang w:val="de-DE"/>
        </w:rPr>
        <w:t>Fallstudie</w:t>
      </w:r>
      <w:r w:rsidRPr="004633D9" w:rsidR="00A25E05">
        <w:rPr>
          <w:rFonts w:ascii="Helvetica neue" w:hAnsi="Helvetica neue" w:cstheme="minorHAnsi"/>
          <w:b/>
          <w:bCs/>
          <w:color w:val="AED738"/>
          <w:sz w:val="40"/>
          <w:szCs w:val="36"/>
          <w:lang w:val="de-DE"/>
        </w:rPr>
        <w:t>:</w:t>
      </w:r>
    </w:p>
    <w:p w:rsidRPr="004633D9" w:rsidR="008D4D5F" w:rsidRDefault="004633D9" w14:paraId="4C84C48C" w14:textId="77777777">
      <w:pPr>
        <w:pStyle w:val="Textkrper"/>
        <w:tabs>
          <w:tab w:val="left" w:pos="567"/>
          <w:tab w:val="left" w:pos="10773"/>
        </w:tabs>
        <w:ind w:left="-567" w:right="-568"/>
        <w:jc w:val="center"/>
        <w:rPr>
          <w:rFonts w:ascii="Helvetica neue" w:hAnsi="Helvetica neue" w:cstheme="minorHAnsi"/>
          <w:b/>
          <w:bCs/>
          <w:color w:val="AED738"/>
          <w:sz w:val="40"/>
          <w:szCs w:val="36"/>
          <w:lang w:val="de-DE"/>
        </w:rPr>
      </w:pPr>
      <w:r w:rsidRPr="004633D9">
        <w:rPr>
          <w:rFonts w:ascii="Helvetica neue" w:hAnsi="Helvetica neue" w:cstheme="minorHAnsi"/>
          <w:b/>
          <w:bCs/>
          <w:color w:val="AED738"/>
          <w:sz w:val="40"/>
          <w:szCs w:val="36"/>
          <w:lang w:val="de-DE"/>
        </w:rPr>
        <w:t>Gmail: Von einem Funken, der zu einem Milliarden-Dollar-Produkt führte</w:t>
      </w:r>
    </w:p>
    <w:p w:rsidRPr="004633D9" w:rsidR="00367762" w:rsidP="00E92B44" w:rsidRDefault="00367762" w14:paraId="1C750CF9" w14:textId="77777777">
      <w:pPr>
        <w:ind w:left="567" w:hanging="425"/>
        <w:jc w:val="center"/>
        <w:rPr>
          <w:rFonts w:ascii="Helvetica neue" w:hAnsi="Helvetica neue" w:cstheme="majorHAnsi"/>
          <w:b/>
          <w:bCs/>
          <w:color w:val="4D94B7"/>
          <w:sz w:val="40"/>
          <w:szCs w:val="36"/>
          <w:lang w:val="de-D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E663D6" w:rsidR="00367762" w:rsidTr="0051620C" w14:paraId="1EC91AA8"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8D4D5F" w:rsidRDefault="004633D9" w14:paraId="517F6554" w14:textId="77777777">
            <w:pPr>
              <w:rPr>
                <w:rFonts w:ascii="Helvetica neue" w:hAnsi="Helvetica neue" w:cstheme="minorHAnsi"/>
                <w:b/>
                <w:bCs/>
                <w:color w:val="FFFFFF" w:themeColor="background1"/>
                <w:lang w:val="en-US"/>
              </w:rPr>
            </w:pPr>
            <w:proofErr w:type="spellStart"/>
            <w:r w:rsidRPr="00C377A1">
              <w:rPr>
                <w:rFonts w:ascii="Helvetica neue" w:hAnsi="Helvetica neue" w:cstheme="minorHAnsi"/>
                <w:b/>
                <w:bCs/>
                <w:color w:val="FFFFFF" w:themeColor="background1"/>
                <w:lang w:val="en-US" w:eastAsia="en-GB"/>
              </w:rPr>
              <w:t>S</w:t>
            </w:r>
            <w:r>
              <w:rPr>
                <w:rFonts w:ascii="Helvetica neue" w:hAnsi="Helvetica neue" w:cstheme="minorHAnsi"/>
                <w:b/>
                <w:bCs/>
                <w:color w:val="FFFFFF" w:themeColor="background1"/>
                <w:lang w:val="en-US" w:eastAsia="en-GB"/>
              </w:rPr>
              <w:t>tich</w:t>
            </w:r>
            <w:r w:rsidRPr="00C377A1">
              <w:rPr>
                <w:rFonts w:ascii="Helvetica neue" w:hAnsi="Helvetica neue" w:cstheme="minorHAnsi"/>
                <w:b/>
                <w:bCs/>
                <w:color w:val="FFFFFF" w:themeColor="background1"/>
                <w:lang w:val="en-US" w:eastAsia="en-GB"/>
              </w:rPr>
              <w:t>wörter</w:t>
            </w:r>
            <w:proofErr w:type="spellEnd"/>
            <w:r w:rsidRPr="00C377A1">
              <w:rPr>
                <w:rFonts w:ascii="Helvetica neue" w:hAnsi="Helvetica neue" w:cstheme="minorHAnsi"/>
                <w:b/>
                <w:bCs/>
                <w:color w:val="FFFFFF" w:themeColor="background1"/>
                <w:lang w:val="en-US" w:eastAsia="en-GB"/>
              </w:rPr>
              <w:t xml:space="preserve"> (</w:t>
            </w:r>
            <w:r>
              <w:rPr>
                <w:rFonts w:ascii="Helvetica neue" w:hAnsi="Helvetica neue" w:cstheme="minorHAnsi"/>
                <w:b/>
                <w:bCs/>
                <w:color w:val="FFFFFF" w:themeColor="background1"/>
                <w:lang w:val="en-US" w:eastAsia="en-GB"/>
              </w:rPr>
              <w:t>M</w:t>
            </w:r>
            <w:r w:rsidRPr="00C377A1">
              <w:rPr>
                <w:rFonts w:ascii="Helvetica neue" w:hAnsi="Helvetica neue" w:cstheme="minorHAnsi"/>
                <w:b/>
                <w:bCs/>
                <w:color w:val="FFFFFF" w:themeColor="background1"/>
                <w:lang w:val="en-US" w:eastAsia="en-GB"/>
              </w:rPr>
              <w:t>eta</w:t>
            </w:r>
            <w:r>
              <w:rPr>
                <w:rFonts w:ascii="Helvetica neue" w:hAnsi="Helvetica neue" w:cstheme="minorHAnsi"/>
                <w:b/>
                <w:bCs/>
                <w:color w:val="FFFFFF" w:themeColor="background1"/>
                <w:lang w:val="en-US" w:eastAsia="en-GB"/>
              </w:rPr>
              <w:t>-T</w:t>
            </w:r>
            <w:r w:rsidRPr="00C377A1">
              <w:rPr>
                <w:rFonts w:ascii="Helvetica neue" w:hAnsi="Helvetica neue" w:cstheme="minorHAnsi"/>
                <w:b/>
                <w:bCs/>
                <w:color w:val="FFFFFF" w:themeColor="background1"/>
                <w:lang w:val="en-US" w:eastAsia="en-GB"/>
              </w:rPr>
              <w:t>ag</w:t>
            </w:r>
            <w:r>
              <w:rPr>
                <w:rFonts w:ascii="Helvetica neue" w:hAnsi="Helvetica neue" w:cstheme="minorHAnsi"/>
                <w:b/>
                <w:bCs/>
                <w:color w:val="FFFFFF" w:themeColor="background1"/>
                <w:lang w:val="en-US" w:eastAsia="en-GB"/>
              </w:rPr>
              <w:t>s</w:t>
            </w:r>
            <w:r w:rsidRPr="00C377A1">
              <w:rPr>
                <w:rFonts w:ascii="Helvetica neue" w:hAnsi="Helvetica neue" w:cstheme="minorHAnsi"/>
                <w:b/>
                <w:bCs/>
                <w:color w:val="FFFFFF" w:themeColor="background1"/>
                <w:lang w:val="en-US" w:eastAsia="en-GB"/>
              </w:rPr>
              <w:t>)</w:t>
            </w:r>
          </w:p>
        </w:tc>
        <w:tc>
          <w:tcPr>
            <w:tcW w:w="6642" w:type="dxa"/>
            <w:shd w:val="clear" w:color="auto" w:fill="FFFFFF" w:themeFill="background1"/>
          </w:tcPr>
          <w:p w:rsidR="008D4D5F" w:rsidRDefault="004633D9" w14:paraId="1F5F1C30" w14:textId="77777777">
            <w:pPr>
              <w:rPr>
                <w:rFonts w:ascii="Helvetica neue" w:hAnsi="Helvetica neue" w:cstheme="minorHAnsi"/>
                <w:lang w:val="en-US"/>
              </w:rPr>
            </w:pPr>
            <w:proofErr w:type="spellStart"/>
            <w:r w:rsidRPr="00E663D6">
              <w:rPr>
                <w:rFonts w:ascii="Helvetica neue" w:hAnsi="Helvetica neue" w:cstheme="minorHAnsi"/>
                <w:lang w:val="en-US"/>
              </w:rPr>
              <w:t>Agil</w:t>
            </w:r>
            <w:proofErr w:type="spellEnd"/>
            <w:r w:rsidRPr="00E663D6">
              <w:rPr>
                <w:rFonts w:ascii="Helvetica neue" w:hAnsi="Helvetica neue" w:cstheme="minorHAnsi"/>
                <w:lang w:val="en-US"/>
              </w:rPr>
              <w:t xml:space="preserve">, Intrapreneur, </w:t>
            </w:r>
            <w:proofErr w:type="spellStart"/>
            <w:r w:rsidRPr="00E663D6">
              <w:rPr>
                <w:rFonts w:ascii="Helvetica neue" w:hAnsi="Helvetica neue" w:cstheme="minorHAnsi"/>
                <w:lang w:val="en-US"/>
              </w:rPr>
              <w:t>Ressourcenmanagement</w:t>
            </w:r>
            <w:proofErr w:type="spellEnd"/>
            <w:r w:rsidRPr="00E663D6">
              <w:rPr>
                <w:rFonts w:ascii="Helvetica neue" w:hAnsi="Helvetica neue" w:cstheme="minorHAnsi"/>
                <w:lang w:val="en-US"/>
              </w:rPr>
              <w:t xml:space="preserve">, </w:t>
            </w:r>
            <w:proofErr w:type="spellStart"/>
            <w:r>
              <w:rPr>
                <w:rFonts w:ascii="Helvetica neue" w:hAnsi="Helvetica neue" w:cstheme="minorHAnsi"/>
                <w:lang w:val="en-US"/>
              </w:rPr>
              <w:t>i</w:t>
            </w:r>
            <w:r w:rsidRPr="00E663D6">
              <w:rPr>
                <w:rFonts w:ascii="Helvetica neue" w:hAnsi="Helvetica neue" w:cstheme="minorHAnsi"/>
                <w:lang w:val="en-US"/>
              </w:rPr>
              <w:t>ntrapreneuriales</w:t>
            </w:r>
            <w:proofErr w:type="spellEnd"/>
            <w:r w:rsidRPr="00E663D6">
              <w:rPr>
                <w:rFonts w:ascii="Helvetica neue" w:hAnsi="Helvetica neue" w:cstheme="minorHAnsi"/>
                <w:lang w:val="en-US"/>
              </w:rPr>
              <w:t xml:space="preserve"> Management</w:t>
            </w:r>
          </w:p>
        </w:tc>
      </w:tr>
      <w:tr w:rsidRPr="00E663D6" w:rsidR="00367762" w:rsidTr="0051620C" w14:paraId="1AF01A88"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8D4D5F" w:rsidRDefault="004633D9" w14:paraId="241061DF" w14:textId="77777777">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Zur Verfügung gestellt von</w:t>
            </w:r>
          </w:p>
        </w:tc>
        <w:tc>
          <w:tcPr>
            <w:tcW w:w="6642" w:type="dxa"/>
            <w:shd w:val="clear" w:color="auto" w:fill="FFFFFF" w:themeFill="background1"/>
          </w:tcPr>
          <w:p w:rsidR="008D4D5F" w:rsidRDefault="004633D9" w14:paraId="23875C63" w14:textId="77777777">
            <w:pPr>
              <w:rPr>
                <w:rFonts w:ascii="Helvetica neue" w:hAnsi="Helvetica neue" w:eastAsia="Calibri" w:cstheme="minorHAnsi"/>
                <w:lang w:val="en-US"/>
              </w:rPr>
            </w:pPr>
            <w:r w:rsidRPr="00E663D6">
              <w:rPr>
                <w:rFonts w:ascii="Helvetica neue" w:hAnsi="Helvetica neue" w:eastAsia="Calibri" w:cstheme="minorHAnsi"/>
                <w:lang w:val="en-US"/>
              </w:rPr>
              <w:t>Clever Collaboration Group Europe</w:t>
            </w:r>
          </w:p>
        </w:tc>
      </w:tr>
      <w:tr w:rsidRPr="00E663D6" w:rsidR="00367762" w:rsidTr="0051620C" w14:paraId="4D4F632D"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8D4D5F" w:rsidRDefault="004633D9" w14:paraId="0836A1B6" w14:textId="77777777">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Sprache</w:t>
            </w:r>
          </w:p>
        </w:tc>
        <w:tc>
          <w:tcPr>
            <w:tcW w:w="6642" w:type="dxa"/>
            <w:shd w:val="clear" w:color="auto" w:fill="FFFFFF" w:themeFill="background1"/>
          </w:tcPr>
          <w:p w:rsidR="008D4D5F" w:rsidRDefault="004633D9" w14:paraId="32E66F7A"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E663D6" w:rsidR="0051620C" w:rsidTr="0051620C" w14:paraId="074A894F"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8D4D5F" w:rsidRDefault="004633D9" w14:paraId="799C969A" w14:textId="77777777">
            <w:pPr>
              <w:jc w:val="both"/>
              <w:textAlignment w:val="baseline"/>
              <w:rPr>
                <w:rFonts w:ascii="Helvetica neue" w:hAnsi="Helvetica neue" w:cstheme="minorHAnsi"/>
                <w:b/>
                <w:bCs/>
                <w:lang w:val="en-US" w:eastAsia="en-GB"/>
              </w:rPr>
            </w:pPr>
            <w:r w:rsidRPr="00E663D6">
              <w:rPr>
                <w:rFonts w:ascii="Helvetica neue" w:hAnsi="Helvetica neue" w:cstheme="minorHAnsi"/>
                <w:b/>
                <w:bCs/>
                <w:color w:val="FFFFFF" w:themeColor="background1"/>
                <w:lang w:val="en-US" w:eastAsia="en-GB"/>
              </w:rPr>
              <w:t>Fallstudie</w:t>
            </w:r>
          </w:p>
        </w:tc>
      </w:tr>
      <w:tr w:rsidRPr="004633D9" w:rsidR="0051620C" w:rsidTr="0051620C" w14:paraId="2C54F702"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4633D9" w:rsidR="008D4D5F" w:rsidP="00B963B7" w:rsidRDefault="004633D9" w14:paraId="51825CD0" w14:textId="0922019E">
            <w:pPr>
              <w:pStyle w:val="Listenabsatz"/>
              <w:jc w:val="both"/>
              <w:rPr>
                <w:rFonts w:ascii="Helvetica neue" w:hAnsi="Helvetica neue" w:cstheme="minorHAnsi"/>
                <w:lang w:val="de-DE" w:eastAsia="en-GB"/>
              </w:rPr>
            </w:pPr>
            <w:r w:rsidRPr="004633D9">
              <w:rPr>
                <w:rFonts w:ascii="Helvetica neue" w:hAnsi="Helvetica neue" w:cstheme="minorHAnsi"/>
                <w:lang w:val="de-DE" w:eastAsia="en-GB"/>
              </w:rPr>
              <w:t xml:space="preserve">Das Herzstück des Unternehmens Google </w:t>
            </w:r>
            <w:r>
              <w:rPr>
                <w:rFonts w:ascii="Helvetica neue" w:hAnsi="Helvetica neue" w:cstheme="minorHAnsi"/>
                <w:lang w:val="de-DE" w:eastAsia="en-GB"/>
              </w:rPr>
              <w:t>sind</w:t>
            </w:r>
            <w:r w:rsidRPr="004633D9">
              <w:rPr>
                <w:rFonts w:ascii="Helvetica neue" w:hAnsi="Helvetica neue" w:cstheme="minorHAnsi"/>
                <w:lang w:val="de-DE" w:eastAsia="en-GB"/>
              </w:rPr>
              <w:t xml:space="preserve"> Innovation</w:t>
            </w:r>
            <w:r>
              <w:rPr>
                <w:rFonts w:ascii="Helvetica neue" w:hAnsi="Helvetica neue" w:cstheme="minorHAnsi"/>
                <w:lang w:val="de-DE" w:eastAsia="en-GB"/>
              </w:rPr>
              <w:t>en</w:t>
            </w:r>
            <w:r w:rsidRPr="004633D9">
              <w:rPr>
                <w:rFonts w:ascii="Helvetica neue" w:hAnsi="Helvetica neue" w:cstheme="minorHAnsi"/>
                <w:lang w:val="de-DE" w:eastAsia="en-GB"/>
              </w:rPr>
              <w:t>. Die berühmte 20-Prozent-Regelung, die es den Mitarbeiten</w:t>
            </w:r>
            <w:r>
              <w:rPr>
                <w:rFonts w:ascii="Helvetica neue" w:hAnsi="Helvetica neue" w:cstheme="minorHAnsi"/>
                <w:lang w:val="de-DE" w:eastAsia="en-GB"/>
              </w:rPr>
              <w:t>den</w:t>
            </w:r>
            <w:r w:rsidRPr="004633D9">
              <w:rPr>
                <w:rFonts w:ascii="Helvetica neue" w:hAnsi="Helvetica neue" w:cstheme="minorHAnsi"/>
                <w:lang w:val="de-DE" w:eastAsia="en-GB"/>
              </w:rPr>
              <w:t xml:space="preserve"> erlaubt, etwa einen Tag pro Woche für Initiativen außerhalb ihres Zuständigkeitsbereichs zu verwenden, ist ein wesentliches Merkmal der kreativen Arbeitsumgebung von Google. Auf diese Weise regt Google seine Mitarbeite</w:t>
            </w:r>
            <w:r>
              <w:rPr>
                <w:rFonts w:ascii="Helvetica neue" w:hAnsi="Helvetica neue" w:cstheme="minorHAnsi"/>
                <w:lang w:val="de-DE" w:eastAsia="en-GB"/>
              </w:rPr>
              <w:t>nden</w:t>
            </w:r>
            <w:r w:rsidRPr="004633D9">
              <w:rPr>
                <w:rFonts w:ascii="Helvetica neue" w:hAnsi="Helvetica neue" w:cstheme="minorHAnsi"/>
                <w:lang w:val="de-DE" w:eastAsia="en-GB"/>
              </w:rPr>
              <w:t xml:space="preserve"> dazu an, als </w:t>
            </w:r>
            <w:proofErr w:type="spellStart"/>
            <w:r w:rsidRPr="004633D9">
              <w:rPr>
                <w:rFonts w:ascii="Helvetica neue" w:hAnsi="Helvetica neue" w:cstheme="minorHAnsi"/>
                <w:lang w:val="de-DE" w:eastAsia="en-GB"/>
              </w:rPr>
              <w:t>Intrapreneur</w:t>
            </w:r>
            <w:proofErr w:type="spellEnd"/>
            <w:r w:rsidR="00B963B7">
              <w:rPr>
                <w:rFonts w:ascii="Helvetica neue" w:hAnsi="Helvetica neue" w:cstheme="minorHAnsi"/>
                <w:lang w:val="de-DE" w:eastAsia="en-GB"/>
              </w:rPr>
              <w:t>*in</w:t>
            </w:r>
            <w:r w:rsidRPr="004633D9">
              <w:rPr>
                <w:rFonts w:ascii="Helvetica neue" w:hAnsi="Helvetica neue" w:cstheme="minorHAnsi"/>
                <w:lang w:val="de-DE" w:eastAsia="en-GB"/>
              </w:rPr>
              <w:t xml:space="preserve"> zu handeln und kreativ zu denken. In den meisten Fällen schließen sich die Google-Mitarbeite</w:t>
            </w:r>
            <w:r>
              <w:rPr>
                <w:rFonts w:ascii="Helvetica neue" w:hAnsi="Helvetica neue" w:cstheme="minorHAnsi"/>
                <w:lang w:val="de-DE" w:eastAsia="en-GB"/>
              </w:rPr>
              <w:t>nden</w:t>
            </w:r>
            <w:r w:rsidRPr="004633D9">
              <w:rPr>
                <w:rFonts w:ascii="Helvetica neue" w:hAnsi="Helvetica neue" w:cstheme="minorHAnsi"/>
                <w:lang w:val="de-DE" w:eastAsia="en-GB"/>
              </w:rPr>
              <w:t>, die an 20</w:t>
            </w:r>
            <w:r>
              <w:rPr>
                <w:rFonts w:hint="eastAsia" w:ascii="Helvetica neue" w:hAnsi="Helvetica neue" w:cstheme="minorHAnsi"/>
                <w:lang w:val="de-DE" w:eastAsia="en-GB"/>
              </w:rPr>
              <w:t> </w:t>
            </w:r>
            <w:r w:rsidRPr="004633D9">
              <w:rPr>
                <w:rFonts w:ascii="Helvetica neue" w:hAnsi="Helvetica neue" w:cstheme="minorHAnsi"/>
                <w:lang w:val="de-DE" w:eastAsia="en-GB"/>
              </w:rPr>
              <w:t>% der Projekte arbeiten, mit anderen zusammen, um ein internes Start-up zu gründen.</w:t>
            </w:r>
          </w:p>
          <w:p w:rsidRPr="004633D9" w:rsidR="00E663D6" w:rsidP="00B963B7" w:rsidRDefault="00E663D6" w14:paraId="112F6B7C" w14:textId="77777777">
            <w:pPr>
              <w:pStyle w:val="Listenabsatz"/>
              <w:jc w:val="both"/>
              <w:rPr>
                <w:rFonts w:ascii="Helvetica neue" w:hAnsi="Helvetica neue" w:cstheme="minorHAnsi"/>
                <w:lang w:val="de-DE" w:eastAsia="en-GB"/>
              </w:rPr>
            </w:pPr>
          </w:p>
          <w:p w:rsidRPr="004633D9" w:rsidR="008D4D5F" w:rsidP="00B963B7" w:rsidRDefault="004633D9" w14:paraId="633B384E" w14:textId="77777777">
            <w:pPr>
              <w:pStyle w:val="Listenabsatz"/>
              <w:jc w:val="both"/>
              <w:rPr>
                <w:rFonts w:ascii="Helvetica neue" w:hAnsi="Helvetica neue" w:cstheme="minorHAnsi"/>
                <w:lang w:val="de-DE" w:eastAsia="en-GB"/>
              </w:rPr>
            </w:pPr>
            <w:r w:rsidRPr="004633D9">
              <w:rPr>
                <w:rFonts w:ascii="Helvetica neue" w:hAnsi="Helvetica neue" w:cstheme="minorHAnsi"/>
                <w:lang w:val="de-DE" w:eastAsia="en-GB"/>
              </w:rPr>
              <w:t xml:space="preserve">Google Mail ist eines der bekanntesten und effektivsten Beispiele für diese Strategie. Paul </w:t>
            </w:r>
            <w:proofErr w:type="spellStart"/>
            <w:r w:rsidRPr="004633D9">
              <w:rPr>
                <w:rFonts w:ascii="Helvetica neue" w:hAnsi="Helvetica neue" w:cstheme="minorHAnsi"/>
                <w:lang w:val="de-DE" w:eastAsia="en-GB"/>
              </w:rPr>
              <w:t>Buchheit</w:t>
            </w:r>
            <w:proofErr w:type="spellEnd"/>
            <w:r w:rsidRPr="004633D9">
              <w:rPr>
                <w:rFonts w:ascii="Helvetica neue" w:hAnsi="Helvetica neue" w:cstheme="minorHAnsi"/>
                <w:lang w:val="de-DE" w:eastAsia="en-GB"/>
              </w:rPr>
              <w:t>, ein Google-Mitarbeiter, hatte die ursprüngliche Idee, das Angebot des Unternehmens durch die Entwicklung einer webbasierten E-Mail zu erweitern, die auch als Suchmaschine dienen kann.</w:t>
            </w:r>
          </w:p>
          <w:p w:rsidRPr="004633D9" w:rsidR="00E663D6" w:rsidP="00B963B7" w:rsidRDefault="00E663D6" w14:paraId="71EBF461" w14:textId="77777777">
            <w:pPr>
              <w:pStyle w:val="Listenabsatz"/>
              <w:jc w:val="both"/>
              <w:rPr>
                <w:rFonts w:ascii="Helvetica neue" w:hAnsi="Helvetica neue" w:cstheme="minorHAnsi"/>
                <w:lang w:val="de-DE" w:eastAsia="en-GB"/>
              </w:rPr>
            </w:pPr>
          </w:p>
          <w:p w:rsidRPr="004633D9" w:rsidR="008D4D5F" w:rsidP="00B963B7" w:rsidRDefault="004633D9" w14:paraId="040B2A99" w14:textId="77777777">
            <w:pPr>
              <w:pStyle w:val="Listenabsatz"/>
              <w:jc w:val="both"/>
              <w:rPr>
                <w:rFonts w:ascii="Helvetica neue" w:hAnsi="Helvetica neue" w:cstheme="minorHAnsi"/>
                <w:lang w:val="de-DE" w:eastAsia="en-GB"/>
              </w:rPr>
            </w:pPr>
            <w:r w:rsidRPr="004633D9">
              <w:rPr>
                <w:rFonts w:ascii="Helvetica neue" w:hAnsi="Helvetica neue" w:cstheme="minorHAnsi"/>
                <w:lang w:val="de-DE" w:eastAsia="en-GB"/>
              </w:rPr>
              <w:t>Auch wenn die Mehrheit der Mitarbeite</w:t>
            </w:r>
            <w:r>
              <w:rPr>
                <w:rFonts w:ascii="Helvetica neue" w:hAnsi="Helvetica neue" w:cstheme="minorHAnsi"/>
                <w:lang w:val="de-DE" w:eastAsia="en-GB"/>
              </w:rPr>
              <w:t>nden</w:t>
            </w:r>
            <w:r w:rsidRPr="004633D9">
              <w:rPr>
                <w:rFonts w:ascii="Helvetica neue" w:hAnsi="Helvetica neue" w:cstheme="minorHAnsi"/>
                <w:lang w:val="de-DE" w:eastAsia="en-GB"/>
              </w:rPr>
              <w:t xml:space="preserve"> im Unternehmen der Meinung war, dass dies aus strategischer und produktbezogener Sicht eine schreckliche Idee war. Doch als die Google-Mitbegründer Larry Page und Sergey </w:t>
            </w:r>
            <w:proofErr w:type="spellStart"/>
            <w:r w:rsidRPr="004633D9">
              <w:rPr>
                <w:rFonts w:ascii="Helvetica neue" w:hAnsi="Helvetica neue" w:cstheme="minorHAnsi"/>
                <w:lang w:val="de-DE" w:eastAsia="en-GB"/>
              </w:rPr>
              <w:t>Brin</w:t>
            </w:r>
            <w:proofErr w:type="spellEnd"/>
            <w:r w:rsidRPr="004633D9">
              <w:rPr>
                <w:rFonts w:ascii="Helvetica neue" w:hAnsi="Helvetica neue" w:cstheme="minorHAnsi"/>
                <w:lang w:val="de-DE" w:eastAsia="en-GB"/>
              </w:rPr>
              <w:t xml:space="preserve"> die Entscheidung trafen, Pauls Initiative zu unterstützen, waren alle Bedenken ausgeräumt.</w:t>
            </w:r>
          </w:p>
          <w:p w:rsidRPr="004633D9" w:rsidR="00E663D6" w:rsidP="00B963B7" w:rsidRDefault="00E663D6" w14:paraId="3B6DDEB6" w14:textId="77777777">
            <w:pPr>
              <w:pStyle w:val="Listenabsatz"/>
              <w:jc w:val="both"/>
              <w:rPr>
                <w:rFonts w:ascii="Helvetica neue" w:hAnsi="Helvetica neue" w:cstheme="minorHAnsi"/>
                <w:lang w:val="de-DE" w:eastAsia="en-GB"/>
              </w:rPr>
            </w:pPr>
          </w:p>
          <w:p w:rsidRPr="004633D9" w:rsidR="008D4D5F" w:rsidP="00B963B7" w:rsidRDefault="004633D9" w14:paraId="0105CFA0" w14:textId="77777777">
            <w:pPr>
              <w:pStyle w:val="Listenabsatz"/>
              <w:jc w:val="both"/>
              <w:rPr>
                <w:rFonts w:ascii="Helvetica neue" w:hAnsi="Helvetica neue" w:cstheme="minorHAnsi"/>
                <w:lang w:val="de-DE" w:eastAsia="en-GB"/>
              </w:rPr>
            </w:pPr>
            <w:r w:rsidRPr="004633D9">
              <w:rPr>
                <w:rFonts w:ascii="Helvetica neue" w:hAnsi="Helvetica neue" w:cstheme="minorHAnsi"/>
                <w:lang w:val="de-DE" w:eastAsia="en-GB"/>
              </w:rPr>
              <w:t>Aus diesem Grund wurde Google Gmail im Jahr 2004 eingeführt und schnell zum ersten ikonischen Angebot des Unternehmens seit der Einführung seines Suchmaschinendienstes im Jahr 1998. Mehr als 1,5 Milliarden Verbraucher</w:t>
            </w:r>
            <w:r>
              <w:rPr>
                <w:rFonts w:ascii="Helvetica neue" w:hAnsi="Helvetica neue" w:cstheme="minorHAnsi"/>
                <w:lang w:val="de-DE" w:eastAsia="en-GB"/>
              </w:rPr>
              <w:t xml:space="preserve"> und Verbraucherinnen</w:t>
            </w:r>
            <w:r w:rsidRPr="004633D9">
              <w:rPr>
                <w:rFonts w:ascii="Helvetica neue" w:hAnsi="Helvetica neue" w:cstheme="minorHAnsi"/>
                <w:lang w:val="de-DE" w:eastAsia="en-GB"/>
              </w:rPr>
              <w:t xml:space="preserve"> nutzen derzeit täglich Google Mail. Von einem kleinen internen Experiment hat es sich zu einem der wichtigsten Dienste der Google-Produktlinie entwickelt.</w:t>
            </w:r>
          </w:p>
          <w:p w:rsidRPr="004633D9" w:rsidR="00E663D6" w:rsidP="00B963B7" w:rsidRDefault="00E663D6" w14:paraId="56FAE8FE" w14:textId="77777777">
            <w:pPr>
              <w:pStyle w:val="Listenabsatz"/>
              <w:jc w:val="both"/>
              <w:rPr>
                <w:rFonts w:ascii="Helvetica neue" w:hAnsi="Helvetica neue" w:cstheme="minorHAnsi"/>
                <w:lang w:val="de-DE" w:eastAsia="en-GB"/>
              </w:rPr>
            </w:pPr>
          </w:p>
          <w:p w:rsidRPr="004633D9" w:rsidR="008D4D5F" w:rsidP="00B963B7" w:rsidRDefault="004633D9" w14:paraId="72C93722" w14:textId="77777777">
            <w:pPr>
              <w:jc w:val="both"/>
              <w:textAlignment w:val="baseline"/>
              <w:rPr>
                <w:rFonts w:ascii="Helvetica neue" w:hAnsi="Helvetica neue" w:cstheme="minorHAnsi"/>
                <w:b/>
                <w:bCs/>
                <w:lang w:val="de-DE" w:eastAsia="en-GB"/>
              </w:rPr>
            </w:pPr>
            <w:r w:rsidRPr="004633D9">
              <w:rPr>
                <w:rFonts w:ascii="Helvetica neue" w:hAnsi="Helvetica neue" w:cstheme="minorHAnsi"/>
                <w:lang w:val="de-DE" w:eastAsia="en-GB"/>
              </w:rPr>
              <w:t>Dies ist ein großartiges Beispiel dafür, dass ein offener Geist und die Unterstützung von Innovatoren durch das Management wunderbare Ergebnisse erzielen können.</w:t>
            </w:r>
          </w:p>
        </w:tc>
      </w:tr>
      <w:tr w:rsidRPr="00E663D6" w:rsidR="00367762" w:rsidTr="0051620C" w14:paraId="652103E6"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8D4D5F" w:rsidRDefault="004633D9" w14:paraId="5294D1AE"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Quelle</w:t>
            </w:r>
          </w:p>
        </w:tc>
        <w:tc>
          <w:tcPr>
            <w:tcW w:w="6642" w:type="dxa"/>
            <w:tcBorders>
              <w:top w:val="single" w:color="4D94B7" w:sz="4" w:space="0"/>
            </w:tcBorders>
            <w:shd w:val="clear" w:color="auto" w:fill="FFFFFF" w:themeFill="background1"/>
          </w:tcPr>
          <w:p w:rsidRPr="00B963B7" w:rsidR="008D4D5F" w:rsidRDefault="00000000" w14:paraId="323CE4C4" w14:textId="77777777">
            <w:pPr>
              <w:textAlignment w:val="baseline"/>
              <w:rPr>
                <w:rFonts w:ascii="Helvetica neue" w:hAnsi="Helvetica neue" w:cstheme="minorHAnsi"/>
                <w:lang w:val="en-US" w:eastAsia="en-GB"/>
              </w:rPr>
            </w:pPr>
            <w:hyperlink w:history="1" r:id="rId7">
              <w:r w:rsidRPr="00B963B7" w:rsidR="004633D9">
                <w:rPr>
                  <w:rStyle w:val="Hyperlink"/>
                  <w:rFonts w:ascii="Helvetica neue" w:hAnsi="Helvetica neue" w:cstheme="minorHAnsi"/>
                  <w:lang w:val="en-US" w:eastAsia="en-GB"/>
                </w:rPr>
                <w:t>https://gaussianco.com/insights/how-intrapreneurship-accelerates-organizations-case-studies</w:t>
              </w:r>
            </w:hyperlink>
          </w:p>
        </w:tc>
      </w:tr>
    </w:tbl>
    <w:p w:rsidRPr="00E663D6" w:rsidR="00367762" w:rsidP="00493C66" w:rsidRDefault="00367762" w14:paraId="3E9F8072" w14:textId="77777777">
      <w:pPr>
        <w:rPr>
          <w:rFonts w:ascii="Helvetica neue" w:hAnsi="Helvetica neue" w:eastAsia="Calibri"/>
        </w:rPr>
      </w:pPr>
    </w:p>
    <w:sectPr w:rsidRPr="00E663D6"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CC1" w:rsidP="00B77D0D" w:rsidRDefault="00DB1CC1" w14:paraId="296F55D4" w14:textId="77777777">
      <w:r>
        <w:separator/>
      </w:r>
    </w:p>
  </w:endnote>
  <w:endnote w:type="continuationSeparator" w:id="0">
    <w:p w:rsidR="00DB1CC1" w:rsidP="00B77D0D" w:rsidRDefault="00DB1CC1" w14:paraId="3F2CE4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D4D5F" w:rsidRDefault="004633D9" w14:paraId="5106B9DD" w14:textId="77777777">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5C5B613" wp14:editId="2CE6C115">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2B8A15BA" wp14:editId="6B7044E7">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633D9" w:rsidR="00403D96" w:rsidTr="2BA3E0F7" w14:paraId="5DB9F71F" w14:textId="77777777">
      <w:tc>
        <w:tcPr>
          <w:tcW w:w="3180" w:type="dxa"/>
          <w:tcMar/>
        </w:tcPr>
        <w:p w:rsidR="008D4D5F" w:rsidRDefault="004633D9" w14:paraId="0A1524F6" w14:textId="19D48D18">
          <w:pPr>
            <w:pStyle w:val="Fuzeile"/>
          </w:pPr>
          <w:r w:rsidR="2BA3E0F7">
            <w:drawing>
              <wp:inline wp14:editId="4095636A" wp14:anchorId="3D28A3E7">
                <wp:extent cx="1885950" cy="400050"/>
                <wp:effectExtent l="0" t="0" r="0" b="0"/>
                <wp:docPr id="1528249747" name="" title=""/>
                <wp:cNvGraphicFramePr>
                  <a:graphicFrameLocks noChangeAspect="1"/>
                </wp:cNvGraphicFramePr>
                <a:graphic>
                  <a:graphicData uri="http://schemas.openxmlformats.org/drawingml/2006/picture">
                    <pic:pic>
                      <pic:nvPicPr>
                        <pic:cNvPr id="0" name=""/>
                        <pic:cNvPicPr/>
                      </pic:nvPicPr>
                      <pic:blipFill>
                        <a:blip r:embed="Rbbb9930c02e9419a">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BA3E0F7" w:rsidRDefault="00403D96" w14:paraId="6837A464" w14:textId="57462A43">
          <w:pPr>
            <w:pStyle w:val="Fuzeile"/>
            <w:widowControl w:val="0"/>
            <w:tabs>
              <w:tab w:val="center" w:leader="none" w:pos="4252"/>
              <w:tab w:val="right" w:leader="none" w:pos="8504"/>
            </w:tabs>
            <w:rPr>
              <w:sz w:val="16"/>
              <w:szCs w:val="16"/>
            </w:rPr>
          </w:pPr>
          <w:r w:rsidRPr="2BA3E0F7" w:rsidR="2BA3E0F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8D4D5F" w:rsidRDefault="004633D9" w14:paraId="39AA84EB" w14:textId="0146BF60">
          <w:pPr>
            <w:pStyle w:val="Fuzeile"/>
          </w:pPr>
          <w:r w:rsidR="2BA3E0F7">
            <w:drawing>
              <wp:inline wp14:editId="47BE8484" wp14:anchorId="5BDBA874">
                <wp:extent cx="1009650" cy="352425"/>
                <wp:effectExtent l="0" t="0" r="0" b="0"/>
                <wp:docPr id="1534025320" name="" title=""/>
                <wp:cNvGraphicFramePr>
                  <a:graphicFrameLocks noChangeAspect="1"/>
                </wp:cNvGraphicFramePr>
                <a:graphic>
                  <a:graphicData uri="http://schemas.openxmlformats.org/drawingml/2006/picture">
                    <pic:pic>
                      <pic:nvPicPr>
                        <pic:cNvPr id="0" name=""/>
                        <pic:cNvPicPr/>
                      </pic:nvPicPr>
                      <pic:blipFill>
                        <a:blip r:embed="Refd81223db544cb8">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4633D9" w:rsidR="00EB1C88" w:rsidRDefault="00EB1C88" w14:paraId="424A529A"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CC1" w:rsidP="00B77D0D" w:rsidRDefault="00DB1CC1" w14:paraId="46361A08" w14:textId="77777777">
      <w:r>
        <w:separator/>
      </w:r>
    </w:p>
  </w:footnote>
  <w:footnote w:type="continuationSeparator" w:id="0">
    <w:p w:rsidR="00DB1CC1" w:rsidP="00B77D0D" w:rsidRDefault="00DB1CC1" w14:paraId="7C4DDB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D4D5F" w:rsidRDefault="004633D9" w14:paraId="1826D8DA"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70ED2069" wp14:editId="54014D96">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10A4DA1" wp14:editId="13510709">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8D4D5F" w:rsidRDefault="004633D9" w14:paraId="2559DC84"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2687AD2D" wp14:editId="3E0B6712">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567E0191" wp14:editId="3B0F0453">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4A25A62A" wp14:editId="2164741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036D8C13" w14:textId="77777777">
    <w:pPr>
      <w:pStyle w:val="Textkrper"/>
      <w:tabs>
        <w:tab w:val="left" w:pos="426"/>
        <w:tab w:val="left" w:pos="11199"/>
      </w:tabs>
    </w:pPr>
  </w:p>
  <w:p w:rsidR="00C47362" w:rsidP="00B77D0D" w:rsidRDefault="00C47362" w14:paraId="1CA35965" w14:textId="77777777">
    <w:pPr>
      <w:pStyle w:val="Textkrper"/>
      <w:jc w:val="center"/>
      <w:rPr>
        <w:rFonts w:ascii="Calibri Light" w:hAnsi="Calibri Light" w:cs="Calibri Light"/>
        <w:sz w:val="12"/>
        <w:szCs w:val="12"/>
      </w:rPr>
    </w:pPr>
  </w:p>
  <w:p w:rsidR="002423FF" w:rsidP="00B77D0D" w:rsidRDefault="002423FF" w14:paraId="41A93CC7" w14:textId="77777777">
    <w:pPr>
      <w:pStyle w:val="Textkrper"/>
      <w:jc w:val="center"/>
      <w:rPr>
        <w:rFonts w:ascii="Calibri Light" w:hAnsi="Calibri Light" w:cs="Calibri Light"/>
        <w:sz w:val="12"/>
        <w:szCs w:val="12"/>
      </w:rPr>
    </w:pPr>
  </w:p>
  <w:p w:rsidR="002423FF" w:rsidP="00B77D0D" w:rsidRDefault="002423FF" w14:paraId="148D63E8" w14:textId="77777777">
    <w:pPr>
      <w:pStyle w:val="Textkrper"/>
      <w:jc w:val="center"/>
      <w:rPr>
        <w:rFonts w:ascii="Calibri Light" w:hAnsi="Calibri Light" w:cs="Calibri Light"/>
        <w:sz w:val="12"/>
        <w:szCs w:val="12"/>
      </w:rPr>
    </w:pPr>
  </w:p>
  <w:p w:rsidR="002423FF" w:rsidP="00B77D0D" w:rsidRDefault="002423FF" w14:paraId="0F3E64F2" w14:textId="77777777">
    <w:pPr>
      <w:pStyle w:val="Textkrper"/>
      <w:jc w:val="center"/>
      <w:rPr>
        <w:rFonts w:ascii="Calibri Light" w:hAnsi="Calibri Light" w:cs="Calibri Light"/>
        <w:sz w:val="12"/>
        <w:szCs w:val="12"/>
      </w:rPr>
    </w:pPr>
  </w:p>
  <w:p w:rsidR="002423FF" w:rsidP="00B77D0D" w:rsidRDefault="002423FF" w14:paraId="67B34B17" w14:textId="77777777">
    <w:pPr>
      <w:pStyle w:val="Textkrper"/>
      <w:jc w:val="center"/>
      <w:rPr>
        <w:rFonts w:ascii="Calibri Light" w:hAnsi="Calibri Light" w:cs="Calibri Light"/>
        <w:sz w:val="14"/>
        <w:szCs w:val="14"/>
      </w:rPr>
    </w:pPr>
  </w:p>
  <w:p w:rsidR="008D4D5F" w:rsidRDefault="004633D9" w14:paraId="64548D84"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1AC5EAD4"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05C1"/>
    <w:rsid w:val="000A3304"/>
    <w:rsid w:val="000A7CAD"/>
    <w:rsid w:val="000C4D72"/>
    <w:rsid w:val="000F6C3F"/>
    <w:rsid w:val="00132DD8"/>
    <w:rsid w:val="001B5666"/>
    <w:rsid w:val="001C0B43"/>
    <w:rsid w:val="001D1444"/>
    <w:rsid w:val="00233984"/>
    <w:rsid w:val="002423FF"/>
    <w:rsid w:val="00250F8E"/>
    <w:rsid w:val="00273BB9"/>
    <w:rsid w:val="00274B14"/>
    <w:rsid w:val="00276525"/>
    <w:rsid w:val="00285C63"/>
    <w:rsid w:val="002D275E"/>
    <w:rsid w:val="003441DD"/>
    <w:rsid w:val="00367762"/>
    <w:rsid w:val="0037488C"/>
    <w:rsid w:val="003C112E"/>
    <w:rsid w:val="003C16FF"/>
    <w:rsid w:val="003D13EC"/>
    <w:rsid w:val="00403D96"/>
    <w:rsid w:val="00404410"/>
    <w:rsid w:val="004369A0"/>
    <w:rsid w:val="004633D9"/>
    <w:rsid w:val="00467D9D"/>
    <w:rsid w:val="00493C66"/>
    <w:rsid w:val="004B10DB"/>
    <w:rsid w:val="004C4FAF"/>
    <w:rsid w:val="004E03FB"/>
    <w:rsid w:val="004F3F08"/>
    <w:rsid w:val="0051401B"/>
    <w:rsid w:val="0051620C"/>
    <w:rsid w:val="005248A4"/>
    <w:rsid w:val="00536144"/>
    <w:rsid w:val="0055064D"/>
    <w:rsid w:val="00612469"/>
    <w:rsid w:val="00617ADA"/>
    <w:rsid w:val="006236AC"/>
    <w:rsid w:val="00624146"/>
    <w:rsid w:val="006279B0"/>
    <w:rsid w:val="0066250A"/>
    <w:rsid w:val="006B4332"/>
    <w:rsid w:val="006C06AD"/>
    <w:rsid w:val="007117B3"/>
    <w:rsid w:val="007E413D"/>
    <w:rsid w:val="007E6542"/>
    <w:rsid w:val="008276F3"/>
    <w:rsid w:val="0085205A"/>
    <w:rsid w:val="00853A2D"/>
    <w:rsid w:val="00857167"/>
    <w:rsid w:val="00874368"/>
    <w:rsid w:val="00884B7D"/>
    <w:rsid w:val="008D4D5F"/>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963B7"/>
    <w:rsid w:val="00BA5E80"/>
    <w:rsid w:val="00BF531A"/>
    <w:rsid w:val="00C07B0F"/>
    <w:rsid w:val="00C35E6B"/>
    <w:rsid w:val="00C47362"/>
    <w:rsid w:val="00C8382D"/>
    <w:rsid w:val="00C97ACD"/>
    <w:rsid w:val="00D629E0"/>
    <w:rsid w:val="00D70A82"/>
    <w:rsid w:val="00D91A91"/>
    <w:rsid w:val="00D9641D"/>
    <w:rsid w:val="00DB1CC1"/>
    <w:rsid w:val="00E01E50"/>
    <w:rsid w:val="00E53DD1"/>
    <w:rsid w:val="00E663D6"/>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24521852"/>
    <w:rsid w:val="2BA3E0F7"/>
    <w:rsid w:val="453FD21F"/>
    <w:rsid w:val="49657458"/>
    <w:rsid w:val="54ADE8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7769"/>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aussianco.com/insights/how-intrapreneurship-accelerates-organizations-case-studi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bbb9930c02e9419a" /><Relationship Type="http://schemas.openxmlformats.org/officeDocument/2006/relationships/image" Target="/media/image4.jpg" Id="Refd81223db544cb8"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docId:D578F8395759D0D3862357565F98DC42</keywords>
  <lastModifiedBy>Torben Körner</lastModifiedBy>
  <revision>11</revision>
  <lastPrinted>2022-11-25T11:56:00.0000000Z</lastPrinted>
  <dcterms:created xsi:type="dcterms:W3CDTF">2022-11-25T15:07:00.0000000Z</dcterms:created>
  <dcterms:modified xsi:type="dcterms:W3CDTF">2024-01-31T13:40:22.0746261Z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