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568A" w:rsidR="00572721" w:rsidP="00572721" w:rsidRDefault="00572721" w14:paraId="5A854292" w14:textId="77777777">
      <w:pPr>
        <w:ind w:left="567" w:hanging="425"/>
        <w:jc w:val="center"/>
        <w:rPr>
          <w:rFonts w:ascii="Helvetica Neue" w:hAnsi="Helvetica Neue" w:cstheme="minorHAnsi"/>
          <w:b/>
          <w:bCs/>
          <w:color w:val="AED738"/>
          <w:sz w:val="40"/>
          <w:szCs w:val="36"/>
          <w:lang w:val="it-IT"/>
        </w:rPr>
      </w:pPr>
      <w:r w:rsidRPr="00DF568A">
        <w:rPr>
          <w:rFonts w:ascii="Helvetica Neue" w:hAnsi="Helvetica Neue" w:cstheme="minorHAnsi"/>
          <w:b/>
          <w:bCs/>
          <w:color w:val="AED738"/>
          <w:sz w:val="40"/>
          <w:szCs w:val="36"/>
          <w:lang w:val="it-IT"/>
        </w:rPr>
        <w:t xml:space="preserve">Caso di studio: </w:t>
      </w:r>
    </w:p>
    <w:p w:rsidRPr="00DF568A" w:rsidR="00367762" w:rsidP="00572721" w:rsidRDefault="00572721" w14:paraId="765BDD30" w14:textId="5DD4E20C">
      <w:pPr>
        <w:ind w:left="567" w:hanging="425"/>
        <w:jc w:val="center"/>
        <w:rPr>
          <w:rFonts w:ascii="Helvetica Neue" w:hAnsi="Helvetica Neue" w:cstheme="minorHAnsi"/>
          <w:b/>
          <w:bCs/>
          <w:color w:val="AED738"/>
          <w:sz w:val="40"/>
          <w:szCs w:val="36"/>
          <w:lang w:val="it-IT"/>
        </w:rPr>
      </w:pPr>
      <w:r w:rsidRPr="00DF568A">
        <w:rPr>
          <w:rFonts w:ascii="Helvetica Neue" w:hAnsi="Helvetica Neue" w:cstheme="minorHAnsi"/>
          <w:b/>
          <w:bCs/>
          <w:color w:val="AED738"/>
          <w:sz w:val="40"/>
          <w:szCs w:val="36"/>
          <w:lang w:val="it-IT"/>
        </w:rPr>
        <w:t xml:space="preserve">Tre </w:t>
      </w:r>
      <w:r w:rsidR="00DF568A">
        <w:rPr>
          <w:rFonts w:ascii="Helvetica Neue" w:hAnsi="Helvetica Neue" w:cstheme="minorHAnsi"/>
          <w:b/>
          <w:bCs/>
          <w:color w:val="AED738"/>
          <w:sz w:val="40"/>
          <w:szCs w:val="36"/>
          <w:lang w:val="it-IT"/>
        </w:rPr>
        <w:t>step</w:t>
      </w:r>
      <w:r w:rsidRPr="00DF568A">
        <w:rPr>
          <w:rFonts w:ascii="Helvetica Neue" w:hAnsi="Helvetica Neue" w:cstheme="minorHAnsi"/>
          <w:b/>
          <w:bCs/>
          <w:color w:val="AED738"/>
          <w:sz w:val="40"/>
          <w:szCs w:val="36"/>
          <w:lang w:val="it-IT"/>
        </w:rPr>
        <w:t xml:space="preserve"> cronologici per incoraggiare l</w:t>
      </w:r>
      <w:r w:rsidR="00DF568A">
        <w:rPr>
          <w:rFonts w:ascii="Helvetica Neue" w:hAnsi="Helvetica Neue" w:cstheme="minorHAnsi"/>
          <w:b/>
          <w:bCs/>
          <w:color w:val="AED738"/>
          <w:sz w:val="40"/>
          <w:szCs w:val="36"/>
          <w:lang w:val="it-IT"/>
        </w:rPr>
        <w:t>’</w:t>
      </w:r>
      <w:r w:rsidRPr="00DF568A">
        <w:rPr>
          <w:rFonts w:ascii="Helvetica Neue" w:hAnsi="Helvetica Neue" w:cstheme="minorHAnsi"/>
          <w:b/>
          <w:bCs/>
          <w:color w:val="AED738"/>
          <w:sz w:val="40"/>
          <w:szCs w:val="36"/>
          <w:lang w:val="it-IT"/>
        </w:rPr>
        <w:t xml:space="preserve">intrapreneurship: Lezioni dal caso </w:t>
      </w:r>
      <w:proofErr w:type="spellStart"/>
      <w:r w:rsidRPr="00DF568A">
        <w:rPr>
          <w:rFonts w:ascii="Helvetica Neue" w:hAnsi="Helvetica Neue" w:cstheme="minorHAnsi"/>
          <w:b/>
          <w:bCs/>
          <w:color w:val="AED738"/>
          <w:sz w:val="40"/>
          <w:szCs w:val="36"/>
          <w:lang w:val="it-IT"/>
        </w:rPr>
        <w:t>Wehkamp</w:t>
      </w:r>
      <w:proofErr w:type="spellEnd"/>
    </w:p>
    <w:p w:rsidRPr="00DF568A" w:rsidR="00572721" w:rsidP="00572721" w:rsidRDefault="00572721" w14:paraId="5886356C"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DF568A"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DF568A" w:rsidR="00367762" w:rsidP="00E92B44" w:rsidRDefault="00572721" w14:paraId="727B59D1" w14:textId="6DAC63E6">
            <w:pPr>
              <w:rPr>
                <w:rFonts w:ascii="Helvetica Neue" w:hAnsi="Helvetica Neue" w:cstheme="minorHAnsi"/>
                <w:b/>
                <w:bCs/>
                <w:color w:val="FFFFFF" w:themeColor="background1"/>
                <w:lang w:val="it-IT"/>
              </w:rPr>
            </w:pPr>
            <w:r w:rsidRPr="00DF568A">
              <w:rPr>
                <w:rFonts w:ascii="Helvetica Neue" w:hAnsi="Helvetica Neue" w:cstheme="minorHAnsi"/>
                <w:b/>
                <w:bCs/>
                <w:color w:val="FFFFFF" w:themeColor="background1"/>
                <w:lang w:val="it-IT" w:eastAsia="en-GB"/>
              </w:rPr>
              <w:t>Parole chiave</w:t>
            </w:r>
            <w:r w:rsidRPr="00DF568A"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DF568A" w:rsidR="00367762" w:rsidP="00E92B44" w:rsidRDefault="00572721" w14:paraId="01319779" w14:textId="294223B8">
            <w:pPr>
              <w:rPr>
                <w:rFonts w:ascii="Helvetica Neue" w:hAnsi="Helvetica Neue" w:cstheme="minorHAnsi"/>
                <w:lang w:val="it-IT"/>
              </w:rPr>
            </w:pPr>
            <w:r w:rsidRPr="00DF568A">
              <w:rPr>
                <w:rFonts w:ascii="Helvetica Neue" w:hAnsi="Helvetica Neue" w:cstheme="minorHAnsi"/>
                <w:lang w:val="it-IT"/>
              </w:rPr>
              <w:t>Comportamento intraprendente, cultura innovativa, mantenimento dell'intrapreneurship</w:t>
            </w:r>
          </w:p>
        </w:tc>
      </w:tr>
      <w:tr w:rsidRPr="00DF568A"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F568A" w:rsidR="00367762" w:rsidP="00E92B44" w:rsidRDefault="00572721" w14:paraId="3D5C6F61" w14:textId="7AEAE663">
            <w:pPr>
              <w:rPr>
                <w:rFonts w:ascii="Helvetica Neue" w:hAnsi="Helvetica Neue" w:cstheme="minorHAnsi"/>
                <w:b/>
                <w:bCs/>
                <w:color w:val="FFFFFF" w:themeColor="background1"/>
                <w:lang w:val="it-IT" w:eastAsia="en-GB"/>
              </w:rPr>
            </w:pPr>
            <w:r w:rsidRPr="00DF568A">
              <w:rPr>
                <w:rFonts w:ascii="Helvetica Neue" w:hAnsi="Helvetica Neue" w:cstheme="minorHAnsi"/>
                <w:b/>
                <w:bCs/>
                <w:color w:val="FFFFFF" w:themeColor="background1"/>
                <w:lang w:val="it-IT" w:eastAsia="en-GB"/>
              </w:rPr>
              <w:t>Fornito da</w:t>
            </w:r>
          </w:p>
        </w:tc>
        <w:tc>
          <w:tcPr>
            <w:tcW w:w="6642" w:type="dxa"/>
            <w:shd w:val="clear" w:color="auto" w:fill="FFFFFF" w:themeFill="background1"/>
          </w:tcPr>
          <w:p w:rsidRPr="00DF568A" w:rsidR="00367762" w:rsidP="00E92B44" w:rsidRDefault="00BF427E" w14:paraId="1E29AC1D" w14:textId="5C912CDB">
            <w:pPr>
              <w:rPr>
                <w:rFonts w:ascii="Helvetica Neue" w:hAnsi="Helvetica Neue" w:eastAsia="Calibri" w:cstheme="minorHAnsi"/>
                <w:lang w:val="it-IT"/>
              </w:rPr>
            </w:pPr>
            <w:r w:rsidRPr="00DF568A">
              <w:rPr>
                <w:rFonts w:ascii="Helvetica Neue" w:hAnsi="Helvetica Neue" w:eastAsia="Calibri" w:cstheme="minorHAnsi"/>
                <w:lang w:val="it-IT"/>
              </w:rPr>
              <w:t xml:space="preserve">d-ialogo </w:t>
            </w:r>
            <w:proofErr w:type="spellStart"/>
            <w:r w:rsidRPr="00DF568A">
              <w:rPr>
                <w:rFonts w:ascii="Helvetica Neue" w:hAnsi="Helvetica Neue" w:eastAsia="Calibri" w:cstheme="minorHAnsi"/>
                <w:lang w:val="it-IT"/>
              </w:rPr>
              <w:t>e.K</w:t>
            </w:r>
            <w:proofErr w:type="spellEnd"/>
            <w:r w:rsidRPr="00DF568A">
              <w:rPr>
                <w:rFonts w:ascii="Helvetica Neue" w:hAnsi="Helvetica Neue" w:eastAsia="Calibri" w:cstheme="minorHAnsi"/>
                <w:lang w:val="it-IT"/>
              </w:rPr>
              <w:t>.</w:t>
            </w:r>
          </w:p>
        </w:tc>
      </w:tr>
      <w:tr w:rsidRPr="00DF568A"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DF568A" w:rsidR="00367762" w:rsidP="00E92B44" w:rsidRDefault="00572721" w14:paraId="242772F7" w14:textId="14AE4BA0">
            <w:pPr>
              <w:rPr>
                <w:rFonts w:ascii="Helvetica Neue" w:hAnsi="Helvetica Neue" w:cstheme="minorHAnsi"/>
                <w:b/>
                <w:bCs/>
                <w:color w:val="FFFFFF" w:themeColor="background1"/>
                <w:lang w:val="it-IT" w:eastAsia="en-GB"/>
              </w:rPr>
            </w:pPr>
            <w:r w:rsidRPr="00DF568A">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DF568A" w:rsidR="00367762" w:rsidP="00E92B44" w:rsidRDefault="00572721" w14:paraId="18723BA9" w14:textId="7639A90A">
            <w:pPr>
              <w:rPr>
                <w:rFonts w:ascii="Helvetica Neue" w:hAnsi="Helvetica Neue" w:eastAsia="Calibri" w:cstheme="minorHAnsi"/>
                <w:lang w:val="it-IT"/>
              </w:rPr>
            </w:pPr>
            <w:r w:rsidRPr="00DF568A">
              <w:rPr>
                <w:rFonts w:ascii="Helvetica Neue" w:hAnsi="Helvetica Neue" w:eastAsia="Calibri" w:cstheme="minorHAnsi"/>
                <w:lang w:val="it-IT"/>
              </w:rPr>
              <w:t>I</w:t>
            </w:r>
            <w:r w:rsidR="00DF568A">
              <w:rPr>
                <w:rFonts w:ascii="Helvetica Neue" w:hAnsi="Helvetica Neue" w:eastAsia="Calibri" w:cstheme="minorHAnsi"/>
                <w:lang w:val="it-IT"/>
              </w:rPr>
              <w:t>taliano</w:t>
            </w:r>
          </w:p>
        </w:tc>
      </w:tr>
      <w:tr w:rsidRPr="00DF568A"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DF568A" w:rsidR="0051620C" w:rsidP="00E92B44" w:rsidRDefault="00572721" w14:paraId="6142E15C" w14:textId="716D706F">
            <w:pPr>
              <w:jc w:val="both"/>
              <w:textAlignment w:val="baseline"/>
              <w:rPr>
                <w:rFonts w:ascii="Helvetica Neue" w:hAnsi="Helvetica Neue" w:cstheme="minorHAnsi"/>
                <w:b/>
                <w:bCs/>
                <w:lang w:val="it-IT" w:eastAsia="en-GB"/>
              </w:rPr>
            </w:pPr>
            <w:r w:rsidRPr="00DF568A">
              <w:rPr>
                <w:rFonts w:ascii="Helvetica Neue" w:hAnsi="Helvetica Neue" w:cstheme="minorHAnsi"/>
                <w:b/>
                <w:bCs/>
                <w:color w:val="FFFFFF" w:themeColor="background1"/>
                <w:lang w:val="it-IT" w:eastAsia="en-GB"/>
              </w:rPr>
              <w:t>Caso di studio</w:t>
            </w:r>
          </w:p>
        </w:tc>
      </w:tr>
      <w:tr w:rsidRPr="00DF568A"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DF568A" w:rsidP="00572721" w:rsidRDefault="00DF568A" w14:paraId="7C232826" w14:textId="14ADBAC8">
            <w:pPr>
              <w:pStyle w:val="Paragrafoelenco"/>
              <w:rPr>
                <w:rFonts w:ascii="Helvetica Neue" w:hAnsi="Helvetica Neue" w:cstheme="minorHAnsi"/>
                <w:lang w:val="it-IT" w:eastAsia="en-GB"/>
              </w:rPr>
            </w:pPr>
            <w:proofErr w:type="spellStart"/>
            <w:r w:rsidRPr="00DF568A">
              <w:rPr>
                <w:rFonts w:ascii="Helvetica Neue" w:hAnsi="Helvetica Neue" w:cstheme="minorHAnsi"/>
                <w:lang w:val="it-IT" w:eastAsia="en-GB"/>
              </w:rPr>
              <w:t>Wehkamp</w:t>
            </w:r>
            <w:proofErr w:type="spellEnd"/>
            <w:r w:rsidRPr="00DF568A">
              <w:rPr>
                <w:rFonts w:ascii="Helvetica Neue" w:hAnsi="Helvetica Neue" w:cstheme="minorHAnsi"/>
                <w:lang w:val="it-IT" w:eastAsia="en-GB"/>
              </w:rPr>
              <w:t xml:space="preserve"> ha iniziato nel 1995 con i primi esperimenti online, ma allo stesso tempo l'attività ristagnava a causa del vecchio modello di business </w:t>
            </w:r>
            <w:r>
              <w:rPr>
                <w:rFonts w:ascii="Helvetica Neue" w:hAnsi="Helvetica Neue" w:cstheme="minorHAnsi"/>
                <w:lang w:val="it-IT" w:eastAsia="en-GB"/>
              </w:rPr>
              <w:t>“</w:t>
            </w:r>
            <w:r w:rsidRPr="00DF568A">
              <w:rPr>
                <w:rFonts w:ascii="Helvetica Neue" w:hAnsi="Helvetica Neue" w:cstheme="minorHAnsi"/>
                <w:lang w:val="it-IT" w:eastAsia="en-GB"/>
              </w:rPr>
              <w:t>associato alle vendite a catalogo, a causa di continui miglioramenti incrementali e di un'elevata attenzione all'efficienza</w:t>
            </w:r>
            <w:r>
              <w:rPr>
                <w:rFonts w:ascii="Helvetica Neue" w:hAnsi="Helvetica Neue" w:cstheme="minorHAnsi"/>
                <w:lang w:val="it-IT" w:eastAsia="en-GB"/>
              </w:rPr>
              <w:t>”</w:t>
            </w:r>
            <w:r w:rsidRPr="00DF568A">
              <w:rPr>
                <w:rFonts w:ascii="Helvetica Neue" w:hAnsi="Helvetica Neue" w:cstheme="minorHAnsi"/>
                <w:lang w:val="it-IT" w:eastAsia="en-GB"/>
              </w:rPr>
              <w:t>. In conclusione, procedure e regole rigide per aumentare l'efficienza possono ostacolare il comportamento intra</w:t>
            </w:r>
            <w:r>
              <w:rPr>
                <w:rFonts w:ascii="Helvetica Neue" w:hAnsi="Helvetica Neue" w:cstheme="minorHAnsi"/>
                <w:lang w:val="it-IT" w:eastAsia="en-GB"/>
              </w:rPr>
              <w:t>prendente</w:t>
            </w:r>
            <w:r w:rsidRPr="00DF568A">
              <w:rPr>
                <w:rFonts w:ascii="Helvetica Neue" w:hAnsi="Helvetica Neue" w:cstheme="minorHAnsi"/>
                <w:lang w:val="it-IT" w:eastAsia="en-GB"/>
              </w:rPr>
              <w:t>, perché tale comportamento significa andare contro le modalità consolidate e accettate con innovazioni radicali; formalizzazione, controllo e gerarchia contro autonomia e comportamento intrapreneurial.</w:t>
            </w:r>
          </w:p>
          <w:p w:rsidRPr="00DF568A" w:rsidR="00572721" w:rsidP="00572721" w:rsidRDefault="00572721" w14:paraId="539BF1E0" w14:textId="1623F2B8">
            <w:pPr>
              <w:pStyle w:val="Paragrafoelenco"/>
              <w:rPr>
                <w:rFonts w:ascii="Helvetica Neue" w:hAnsi="Helvetica Neue" w:cstheme="minorHAnsi"/>
                <w:lang w:val="it-IT" w:eastAsia="en-GB"/>
              </w:rPr>
            </w:pPr>
            <w:r w:rsidRPr="00DF568A">
              <w:rPr>
                <w:rFonts w:ascii="Helvetica Neue" w:hAnsi="Helvetica Neue" w:cstheme="minorHAnsi"/>
                <w:lang w:val="it-IT" w:eastAsia="en-GB"/>
              </w:rPr>
              <w:t xml:space="preserve"> </w:t>
            </w:r>
          </w:p>
          <w:p w:rsidR="00572721" w:rsidP="00572721" w:rsidRDefault="00DF568A" w14:paraId="20F62A82" w14:textId="710E8ECF">
            <w:pPr>
              <w:pStyle w:val="Paragrafoelenco"/>
              <w:rPr>
                <w:rFonts w:ascii="Helvetica Neue" w:hAnsi="Helvetica Neue" w:cstheme="minorHAnsi"/>
                <w:lang w:val="it-IT" w:eastAsia="en-GB"/>
              </w:rPr>
            </w:pPr>
            <w:r w:rsidRPr="00DF568A">
              <w:rPr>
                <w:rFonts w:ascii="Helvetica Neue" w:hAnsi="Helvetica Neue" w:cstheme="minorHAnsi"/>
                <w:lang w:val="it-IT" w:eastAsia="en-GB"/>
              </w:rPr>
              <w:t>Il risultato di questa analisi di Deprez et al. è che un sistema basato su un modello è importante per stabilire una cultura innovativa, un sistema basato su un modello descritto di seguito:</w:t>
            </w:r>
          </w:p>
          <w:p w:rsidRPr="00DF568A" w:rsidR="00DF568A" w:rsidP="00572721" w:rsidRDefault="00DF568A" w14:paraId="568991CF" w14:textId="77777777">
            <w:pPr>
              <w:pStyle w:val="Paragrafoelenco"/>
              <w:rPr>
                <w:rFonts w:ascii="Helvetica Neue" w:hAnsi="Helvetica Neue" w:cstheme="minorHAnsi"/>
                <w:lang w:val="it-IT" w:eastAsia="en-GB"/>
              </w:rPr>
            </w:pPr>
          </w:p>
          <w:p w:rsidRPr="00DF568A" w:rsidR="00572721" w:rsidP="00BF427E" w:rsidRDefault="00572721" w14:paraId="0A0BE7CA" w14:textId="77777777">
            <w:pPr>
              <w:pStyle w:val="Paragrafoelenco"/>
              <w:rPr>
                <w:rFonts w:ascii="Helvetica Neue" w:hAnsi="Helvetica Neue" w:cstheme="minorHAnsi"/>
                <w:b/>
                <w:bCs/>
                <w:lang w:val="it-IT" w:eastAsia="en-GB"/>
              </w:rPr>
            </w:pPr>
            <w:r w:rsidRPr="00DF568A">
              <w:rPr>
                <w:rFonts w:ascii="Helvetica Neue" w:hAnsi="Helvetica Neue" w:cstheme="minorHAnsi"/>
                <w:b/>
                <w:bCs/>
                <w:lang w:val="it-IT" w:eastAsia="en-GB"/>
              </w:rPr>
              <w:t>Fase 1: intrapreneurship di pochi</w:t>
            </w:r>
          </w:p>
          <w:p w:rsidR="00572721" w:rsidP="00BF427E" w:rsidRDefault="00DF568A" w14:paraId="618A42BD" w14:textId="1D2EAE98">
            <w:pPr>
              <w:pStyle w:val="Paragrafoelenco"/>
              <w:rPr>
                <w:rFonts w:ascii="Helvetica Neue" w:hAnsi="Helvetica Neue" w:cstheme="minorHAnsi"/>
                <w:lang w:val="it-IT" w:eastAsia="en-GB"/>
              </w:rPr>
            </w:pPr>
            <w:r w:rsidRPr="00DF568A">
              <w:rPr>
                <w:rFonts w:ascii="Helvetica Neue" w:hAnsi="Helvetica Neue" w:cstheme="minorHAnsi"/>
                <w:lang w:val="it-IT" w:eastAsia="en-GB"/>
              </w:rPr>
              <w:t>In primo luogo, i dipendenti in prima linea possono osservare i cambiamenti del mercato, ad esempio le mutate esigenze dei clienti, e possono trovare soluzioni. Sono fonti molto importanti per trovare soluzioni innovative. Per trovare e stabilire innovazioni è necessario un livello crescente di autonomia e di capacità decisionale. Questi possono essere forniti dai team leader e possono favorire l'iniziativa dei collaboratori. Il feedback su ciò che sta accadendo con la sua idea e l'offerta di continuare a lavorare sulla sua idea è essenziale per la motivazione e può facilitare ulteriori idee. Infine, è necessario definire perché l'organizzazione vuole aumentare l'intrapreneurship e con quale capacità.</w:t>
            </w:r>
          </w:p>
          <w:p w:rsidRPr="00DF568A" w:rsidR="00DF568A" w:rsidP="00BF427E" w:rsidRDefault="00DF568A" w14:paraId="22ECB4D2" w14:textId="77777777">
            <w:pPr>
              <w:pStyle w:val="Paragrafoelenco"/>
              <w:rPr>
                <w:rFonts w:ascii="Helvetica Neue" w:hAnsi="Helvetica Neue" w:cstheme="minorHAnsi"/>
                <w:lang w:val="it-IT" w:eastAsia="en-GB"/>
              </w:rPr>
            </w:pPr>
          </w:p>
          <w:p w:rsidRPr="00DF568A" w:rsidR="00572721" w:rsidP="00572721" w:rsidRDefault="00572721" w14:paraId="01330C90" w14:textId="5DC30790">
            <w:pPr>
              <w:pStyle w:val="Paragrafoelenco"/>
              <w:rPr>
                <w:rFonts w:ascii="Helvetica Neue" w:hAnsi="Helvetica Neue" w:cstheme="minorHAnsi"/>
                <w:b/>
                <w:bCs/>
                <w:lang w:val="it-IT" w:eastAsia="en-GB"/>
              </w:rPr>
            </w:pPr>
            <w:r w:rsidRPr="00DF568A">
              <w:rPr>
                <w:rFonts w:ascii="Helvetica Neue" w:hAnsi="Helvetica Neue" w:cstheme="minorHAnsi"/>
                <w:b/>
                <w:bCs/>
                <w:lang w:val="it-IT" w:eastAsia="en-GB"/>
              </w:rPr>
              <w:t xml:space="preserve">Fase 2: </w:t>
            </w:r>
            <w:r w:rsidRPr="00DF568A" w:rsidR="00DF568A">
              <w:rPr>
                <w:rFonts w:ascii="Helvetica Neue" w:hAnsi="Helvetica Neue" w:cstheme="minorHAnsi"/>
                <w:b/>
                <w:bCs/>
                <w:lang w:val="it-IT" w:eastAsia="en-GB"/>
              </w:rPr>
              <w:t>usare i periodi di turbolenza per stimolare l'intrapreneurship in molti</w:t>
            </w:r>
          </w:p>
          <w:p w:rsidRPr="00DF568A" w:rsidR="00DF568A" w:rsidP="00DF568A" w:rsidRDefault="00DF568A" w14:paraId="3AF24163" w14:textId="77777777">
            <w:pPr>
              <w:pStyle w:val="Paragrafoelenco"/>
              <w:rPr>
                <w:rFonts w:ascii="Helvetica Neue" w:hAnsi="Helvetica Neue" w:cstheme="minorHAnsi"/>
                <w:lang w:val="it-IT" w:eastAsia="en-GB"/>
              </w:rPr>
            </w:pPr>
            <w:r w:rsidRPr="00DF568A">
              <w:rPr>
                <w:rFonts w:ascii="Helvetica Neue" w:hAnsi="Helvetica Neue" w:cstheme="minorHAnsi"/>
                <w:lang w:val="it-IT" w:eastAsia="en-GB"/>
              </w:rPr>
              <w:t>È necessario sottolineare che l'intrapreneurship è desiderata e perché dovrebbe essere stabilita.</w:t>
            </w:r>
          </w:p>
          <w:p w:rsidRPr="00DF568A" w:rsidR="00826CC7" w:rsidP="00DF568A" w:rsidRDefault="00DF568A" w14:paraId="49E96B36" w14:textId="7AC34FA6">
            <w:pPr>
              <w:pStyle w:val="Paragrafoelenco"/>
              <w:rPr>
                <w:rFonts w:ascii="Helvetica Neue" w:hAnsi="Helvetica Neue" w:cstheme="minorHAnsi"/>
                <w:lang w:val="it-IT" w:eastAsia="en-GB"/>
              </w:rPr>
            </w:pPr>
            <w:r w:rsidRPr="00DF568A">
              <w:rPr>
                <w:rFonts w:ascii="Helvetica Neue" w:hAnsi="Helvetica Neue" w:cstheme="minorHAnsi"/>
                <w:lang w:val="it-IT" w:eastAsia="en-GB"/>
              </w:rPr>
              <w:t xml:space="preserve">Il top management può svolgere compiti pionieristici e promuovere l'intrapreneurship e il comportamento desiderato dai dipendenti. Barriere più basse e una minore formalizzazione per la comunicazione e la presentazione delle idee possono favorire la proposta di idee. Anche una </w:t>
            </w:r>
            <w:r w:rsidRPr="00DF568A">
              <w:rPr>
                <w:rFonts w:ascii="Helvetica Neue" w:hAnsi="Helvetica Neue" w:cstheme="minorHAnsi"/>
                <w:lang w:val="it-IT" w:eastAsia="en-GB"/>
              </w:rPr>
              <w:lastRenderedPageBreak/>
              <w:t>cultura equa favorisce l'intrapreneurship. Gli intrapreneur vorrebbero essere trattati in modo umano ed equo.</w:t>
            </w:r>
          </w:p>
          <w:p w:rsidRPr="00DF568A" w:rsidR="00826CC7" w:rsidP="00BF427E" w:rsidRDefault="00826CC7" w14:paraId="3F6D828C" w14:textId="77777777">
            <w:pPr>
              <w:pStyle w:val="Paragrafoelenco"/>
              <w:rPr>
                <w:rFonts w:ascii="Helvetica Neue" w:hAnsi="Helvetica Neue" w:cstheme="minorHAnsi"/>
                <w:lang w:val="it-IT" w:eastAsia="en-GB"/>
              </w:rPr>
            </w:pPr>
          </w:p>
          <w:p w:rsidRPr="00DF568A" w:rsidR="00572721" w:rsidP="00F051B8" w:rsidRDefault="00572721" w14:paraId="0AF6E3A2" w14:textId="77777777">
            <w:pPr>
              <w:textAlignment w:val="baseline"/>
              <w:rPr>
                <w:rFonts w:ascii="Helvetica Neue" w:hAnsi="Helvetica Neue" w:cstheme="minorHAnsi"/>
                <w:b/>
                <w:bCs/>
                <w:lang w:val="it-IT" w:eastAsia="en-GB"/>
              </w:rPr>
            </w:pPr>
            <w:r w:rsidRPr="00DF568A">
              <w:rPr>
                <w:rFonts w:ascii="Helvetica Neue" w:hAnsi="Helvetica Neue" w:cstheme="minorHAnsi"/>
                <w:b/>
                <w:bCs/>
                <w:lang w:val="it-IT" w:eastAsia="en-GB"/>
              </w:rPr>
              <w:t>Fase 3: mantenere l'intrapreneurship dei molti</w:t>
            </w:r>
          </w:p>
          <w:p w:rsidRPr="00DF568A" w:rsidR="0051620C" w:rsidP="00F051B8" w:rsidRDefault="00DF568A" w14:paraId="15746645" w14:textId="20ADCCD9">
            <w:pPr>
              <w:textAlignment w:val="baseline"/>
              <w:rPr>
                <w:rFonts w:ascii="Helvetica Neue" w:hAnsi="Helvetica Neue" w:cstheme="minorHAnsi"/>
                <w:b/>
                <w:bCs/>
                <w:lang w:val="it-IT" w:eastAsia="en-GB"/>
              </w:rPr>
            </w:pPr>
            <w:r w:rsidRPr="00DF568A">
              <w:rPr>
                <w:rFonts w:ascii="Helvetica Neue" w:hAnsi="Helvetica Neue" w:cstheme="minorHAnsi"/>
                <w:lang w:val="it-IT" w:eastAsia="en-GB"/>
              </w:rPr>
              <w:t xml:space="preserve">Molte ricerche si occupano di capire quali fattori organizzativi possono sostenere l'intrapreneurship. Esistono cinque fattori organizzativi chiave per migliorare l'intrapreneurship: </w:t>
            </w:r>
            <w:r>
              <w:rPr>
                <w:rFonts w:ascii="Helvetica Neue" w:hAnsi="Helvetica Neue" w:cstheme="minorHAnsi"/>
                <w:lang w:val="it-IT" w:eastAsia="en-GB"/>
              </w:rPr>
              <w:t>“</w:t>
            </w:r>
            <w:r w:rsidRPr="00DF568A">
              <w:rPr>
                <w:rFonts w:ascii="Helvetica Neue" w:hAnsi="Helvetica Neue" w:cstheme="minorHAnsi"/>
                <w:lang w:val="it-IT" w:eastAsia="en-GB"/>
              </w:rPr>
              <w:t>autonomia, ricompense, disponibilità di tempo, sostegno del management e limiti posti alla portata di un'iniziativa</w:t>
            </w:r>
            <w:r>
              <w:rPr>
                <w:rFonts w:ascii="Helvetica Neue" w:hAnsi="Helvetica Neue" w:cstheme="minorHAnsi"/>
                <w:lang w:val="it-IT" w:eastAsia="en-GB"/>
              </w:rPr>
              <w:t>”</w:t>
            </w:r>
            <w:r w:rsidRPr="00DF568A">
              <w:rPr>
                <w:rFonts w:ascii="Helvetica Neue" w:hAnsi="Helvetica Neue" w:cstheme="minorHAnsi"/>
                <w:lang w:val="it-IT" w:eastAsia="en-GB"/>
              </w:rPr>
              <w:t>.</w:t>
            </w:r>
            <w:r>
              <w:rPr>
                <w:rFonts w:ascii="Helvetica Neue" w:hAnsi="Helvetica Neue" w:cstheme="minorHAnsi"/>
                <w:lang w:val="it-IT" w:eastAsia="en-GB"/>
              </w:rPr>
              <w:t xml:space="preserve"> </w:t>
            </w:r>
            <w:r w:rsidRPr="00DF568A">
              <w:rPr>
                <w:rFonts w:ascii="Helvetica Neue" w:hAnsi="Helvetica Neue" w:cstheme="minorHAnsi"/>
                <w:lang w:val="it-IT" w:eastAsia="en-GB"/>
              </w:rPr>
              <w:t>Per disponibilità di tempo non si intende un'assegnazione specifica di tempo, ma un invito a utilizzare le aree di svago per incontrare altri o per i tempi morti mentali. Le ricompense possono essere bonus o ricompense indirette, come ad esempio festeggiare insieme i successi dell'azienda.</w:t>
            </w:r>
          </w:p>
        </w:tc>
      </w:tr>
      <w:tr w:rsidRPr="00DF568A"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DF568A" w:rsidR="00367762" w:rsidP="00E92B44" w:rsidRDefault="00572721" w14:paraId="41D370F8" w14:textId="719AA19B">
            <w:pPr>
              <w:rPr>
                <w:rFonts w:ascii="Helvetica Neue" w:hAnsi="Helvetica Neue" w:cstheme="minorHAnsi"/>
                <w:b/>
                <w:bCs/>
                <w:color w:val="FFFFFF" w:themeColor="background1"/>
                <w:lang w:val="it-IT" w:eastAsia="en-GB"/>
              </w:rPr>
            </w:pPr>
            <w:r w:rsidRPr="00DF568A">
              <w:rPr>
                <w:rFonts w:ascii="Helvetica Neue" w:hAnsi="Helvetica Neue" w:cstheme="minorHAnsi"/>
                <w:b/>
                <w:bCs/>
                <w:color w:val="FFFFFF" w:themeColor="background1"/>
                <w:lang w:val="it-IT" w:eastAsia="en-GB"/>
              </w:rPr>
              <w:lastRenderedPageBreak/>
              <w:t>Riferimento</w:t>
            </w:r>
          </w:p>
        </w:tc>
        <w:tc>
          <w:tcPr>
            <w:tcW w:w="6642" w:type="dxa"/>
            <w:tcBorders>
              <w:top w:val="single" w:color="4D94B7" w:sz="4" w:space="0"/>
            </w:tcBorders>
            <w:shd w:val="clear" w:color="auto" w:fill="FFFFFF" w:themeFill="background1"/>
          </w:tcPr>
          <w:p w:rsidRPr="00DF568A" w:rsidR="00367762" w:rsidP="0051620C" w:rsidRDefault="00BF427E" w14:paraId="67A1AE46" w14:textId="5601BC7C">
            <w:pPr>
              <w:textAlignment w:val="baseline"/>
              <w:rPr>
                <w:rFonts w:ascii="Helvetica Neue" w:hAnsi="Helvetica Neue" w:cstheme="minorHAnsi"/>
                <w:lang w:val="en-GB" w:eastAsia="en-GB"/>
              </w:rPr>
            </w:pPr>
            <w:proofErr w:type="spellStart"/>
            <w:r w:rsidRPr="00DF568A">
              <w:rPr>
                <w:rFonts w:ascii="Helvetica Neue" w:hAnsi="Helvetica Neue" w:cstheme="minorHAnsi"/>
                <w:lang w:val="en-GB" w:eastAsia="en-GB"/>
              </w:rPr>
              <w:t>Deprez</w:t>
            </w:r>
            <w:proofErr w:type="spellEnd"/>
            <w:r w:rsidRPr="00DF568A">
              <w:rPr>
                <w:rFonts w:ascii="Helvetica Neue" w:hAnsi="Helvetica Neue" w:cstheme="minorHAnsi"/>
                <w:lang w:val="en-GB" w:eastAsia="en-GB"/>
              </w:rPr>
              <w:t xml:space="preserve">, J.; Leroy, H.; </w:t>
            </w:r>
            <w:proofErr w:type="spellStart"/>
            <w:r w:rsidRPr="00DF568A">
              <w:rPr>
                <w:rFonts w:ascii="Helvetica Neue" w:hAnsi="Helvetica Neue" w:cstheme="minorHAnsi"/>
                <w:lang w:val="en-GB" w:eastAsia="en-GB"/>
              </w:rPr>
              <w:t>Euwema</w:t>
            </w:r>
            <w:proofErr w:type="spellEnd"/>
            <w:r w:rsidRPr="00DF568A">
              <w:rPr>
                <w:rFonts w:ascii="Helvetica Neue" w:hAnsi="Helvetica Neue" w:cstheme="minorHAnsi"/>
                <w:lang w:val="en-GB" w:eastAsia="en-GB"/>
              </w:rPr>
              <w:t xml:space="preserve">, M. (2018). Three chronological steps toward encouraging intrapreneurship: Lessons from the </w:t>
            </w:r>
            <w:proofErr w:type="spellStart"/>
            <w:r w:rsidRPr="00DF568A">
              <w:rPr>
                <w:rFonts w:ascii="Helvetica Neue" w:hAnsi="Helvetica Neue" w:cstheme="minorHAnsi"/>
                <w:lang w:val="en-GB" w:eastAsia="en-GB"/>
              </w:rPr>
              <w:t>Wehkamp</w:t>
            </w:r>
            <w:proofErr w:type="spellEnd"/>
            <w:r w:rsidRPr="00DF568A">
              <w:rPr>
                <w:rFonts w:ascii="Helvetica Neue" w:hAnsi="Helvetica Neue" w:cstheme="minorHAnsi"/>
                <w:lang w:val="en-GB" w:eastAsia="en-GB"/>
              </w:rPr>
              <w:t xml:space="preserve"> case. Business Horizons, 61, p. 135-145.</w:t>
            </w:r>
          </w:p>
        </w:tc>
      </w:tr>
    </w:tbl>
    <w:p w:rsidRPr="00607766" w:rsidR="00B77D0D" w:rsidP="00E92B44" w:rsidRDefault="00B77D0D" w14:paraId="1D7A6CEB" w14:textId="77777777">
      <w:pPr>
        <w:pStyle w:val="Corpotesto"/>
        <w:rPr>
          <w:rFonts w:ascii="Helvetica Neue" w:hAnsi="Helvetica Neue"/>
        </w:rPr>
      </w:pPr>
    </w:p>
    <w:sectPr w:rsidRPr="00607766"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DE8" w:rsidP="00B77D0D" w:rsidRDefault="00A94DE8" w14:paraId="0E7C1996" w14:textId="77777777">
      <w:r>
        <w:separator/>
      </w:r>
    </w:p>
  </w:endnote>
  <w:endnote w:type="continuationSeparator" w:id="0">
    <w:p w:rsidR="00A94DE8" w:rsidP="00B77D0D" w:rsidRDefault="00A94DE8" w14:paraId="530AC7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E2585D4" w14:paraId="67534BAE" w14:textId="77777777">
      <w:tc>
        <w:tcPr>
          <w:tcW w:w="3180" w:type="dxa"/>
          <w:tcMar/>
        </w:tcPr>
        <w:p w:rsidRPr="00403D96" w:rsidR="00403D96" w:rsidP="00403D96" w:rsidRDefault="00403D96" w14:paraId="223DE6AB" w14:textId="1F0B4179">
          <w:pPr>
            <w:pStyle w:val="Pidipagina"/>
          </w:pPr>
          <w:r w:rsidR="1E2585D4">
            <w:drawing>
              <wp:inline wp14:editId="4C12D88C" wp14:anchorId="65921E95">
                <wp:extent cx="1885950" cy="400050"/>
                <wp:effectExtent l="0" t="0" r="0" b="0"/>
                <wp:docPr id="1461711188" name="" title=""/>
                <wp:cNvGraphicFramePr>
                  <a:graphicFrameLocks noChangeAspect="1"/>
                </wp:cNvGraphicFramePr>
                <a:graphic>
                  <a:graphicData uri="http://schemas.openxmlformats.org/drawingml/2006/picture">
                    <pic:pic>
                      <pic:nvPicPr>
                        <pic:cNvPr id="0" name=""/>
                        <pic:cNvPicPr/>
                      </pic:nvPicPr>
                      <pic:blipFill>
                        <a:blip r:embed="Rb0c2cf9f63174544">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E2585D4" w:rsidRDefault="00403D96" w14:paraId="056A3FFF" w14:textId="45EECEA5">
          <w:pPr>
            <w:pStyle w:val="Pidipagina"/>
            <w:widowControl w:val="0"/>
            <w:tabs>
              <w:tab w:val="center" w:leader="none" w:pos="4252"/>
              <w:tab w:val="right" w:leader="none" w:pos="8504"/>
            </w:tabs>
            <w:rPr>
              <w:sz w:val="16"/>
              <w:szCs w:val="16"/>
            </w:rPr>
          </w:pPr>
          <w:r w:rsidRPr="1E2585D4" w:rsidR="1E2585D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7D0907F">
          <w:pPr>
            <w:pStyle w:val="Pidipagina"/>
          </w:pPr>
          <w:r w:rsidR="1E2585D4">
            <w:drawing>
              <wp:inline wp14:editId="5D7AFE23" wp14:anchorId="5F876EF6">
                <wp:extent cx="1009650" cy="352425"/>
                <wp:effectExtent l="0" t="0" r="0" b="0"/>
                <wp:docPr id="387475369" name="" title=""/>
                <wp:cNvGraphicFramePr>
                  <a:graphicFrameLocks noChangeAspect="1"/>
                </wp:cNvGraphicFramePr>
                <a:graphic>
                  <a:graphicData uri="http://schemas.openxmlformats.org/drawingml/2006/picture">
                    <pic:pic>
                      <pic:nvPicPr>
                        <pic:cNvPr id="0" name=""/>
                        <pic:cNvPicPr/>
                      </pic:nvPicPr>
                      <pic:blipFill>
                        <a:blip r:embed="R819b7c743042421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DE8" w:rsidP="00B77D0D" w:rsidRDefault="00A94DE8" w14:paraId="74AB9E61" w14:textId="77777777">
      <w:r>
        <w:separator/>
      </w:r>
    </w:p>
  </w:footnote>
  <w:footnote w:type="continuationSeparator" w:id="0">
    <w:p w:rsidR="00A94DE8" w:rsidP="00B77D0D" w:rsidRDefault="00A94DE8" w14:paraId="3A74F8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474D9"/>
    <w:rsid w:val="0055064D"/>
    <w:rsid w:val="005517B6"/>
    <w:rsid w:val="00572721"/>
    <w:rsid w:val="00607766"/>
    <w:rsid w:val="00612469"/>
    <w:rsid w:val="00617ADA"/>
    <w:rsid w:val="00624146"/>
    <w:rsid w:val="006279B0"/>
    <w:rsid w:val="0066250A"/>
    <w:rsid w:val="006B4332"/>
    <w:rsid w:val="006C06AD"/>
    <w:rsid w:val="007117B3"/>
    <w:rsid w:val="007E413D"/>
    <w:rsid w:val="007E6542"/>
    <w:rsid w:val="00826CC7"/>
    <w:rsid w:val="008276F3"/>
    <w:rsid w:val="0085205A"/>
    <w:rsid w:val="00853A2D"/>
    <w:rsid w:val="00857167"/>
    <w:rsid w:val="00884B7D"/>
    <w:rsid w:val="008E08F1"/>
    <w:rsid w:val="00921994"/>
    <w:rsid w:val="009248D3"/>
    <w:rsid w:val="009750CD"/>
    <w:rsid w:val="009843CB"/>
    <w:rsid w:val="00986C6F"/>
    <w:rsid w:val="009A443E"/>
    <w:rsid w:val="009F0523"/>
    <w:rsid w:val="00A13E50"/>
    <w:rsid w:val="00A1516C"/>
    <w:rsid w:val="00A21F30"/>
    <w:rsid w:val="00A2519C"/>
    <w:rsid w:val="00A25E05"/>
    <w:rsid w:val="00A949C0"/>
    <w:rsid w:val="00A94DE8"/>
    <w:rsid w:val="00AA0C9E"/>
    <w:rsid w:val="00AC71EF"/>
    <w:rsid w:val="00B217DC"/>
    <w:rsid w:val="00B34F9F"/>
    <w:rsid w:val="00B40CAE"/>
    <w:rsid w:val="00B61BC4"/>
    <w:rsid w:val="00B77D0D"/>
    <w:rsid w:val="00B82763"/>
    <w:rsid w:val="00BA5E80"/>
    <w:rsid w:val="00BF427E"/>
    <w:rsid w:val="00BF531A"/>
    <w:rsid w:val="00C07B0F"/>
    <w:rsid w:val="00C35E6B"/>
    <w:rsid w:val="00C47362"/>
    <w:rsid w:val="00C8382D"/>
    <w:rsid w:val="00C97ACD"/>
    <w:rsid w:val="00D629E0"/>
    <w:rsid w:val="00D70A82"/>
    <w:rsid w:val="00D91A91"/>
    <w:rsid w:val="00D9641D"/>
    <w:rsid w:val="00DF568A"/>
    <w:rsid w:val="00E01E50"/>
    <w:rsid w:val="00E53DD1"/>
    <w:rsid w:val="00E66F38"/>
    <w:rsid w:val="00E73643"/>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E2585D4"/>
    <w:rsid w:val="1FC15635"/>
    <w:rsid w:val="3834678C"/>
    <w:rsid w:val="5A740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 w:type="paragraph" w:styleId="Testonotaapidipagina">
    <w:name w:val="footnote text"/>
    <w:basedOn w:val="Normale"/>
    <w:link w:val="TestonotaapidipaginaCarattere"/>
    <w:uiPriority w:val="99"/>
    <w:semiHidden/>
    <w:unhideWhenUsed/>
    <w:rsid w:val="00BF427E"/>
    <w:rPr>
      <w:sz w:val="20"/>
      <w:szCs w:val="20"/>
    </w:rPr>
  </w:style>
  <w:style w:type="character" w:styleId="TestonotaapidipaginaCarattere" w:customStyle="1">
    <w:name w:val="Testo nota a piè di pagina Carattere"/>
    <w:basedOn w:val="Carpredefinitoparagrafo"/>
    <w:link w:val="Testonotaapidipagina"/>
    <w:uiPriority w:val="99"/>
    <w:semiHidden/>
    <w:rsid w:val="00BF427E"/>
    <w:rPr>
      <w:rFonts w:ascii="Times New Roman" w:hAnsi="Times New Roman" w:eastAsia="Times New Roman" w:cs="Times New Roman"/>
      <w:sz w:val="20"/>
      <w:szCs w:val="20"/>
    </w:rPr>
  </w:style>
  <w:style w:type="character" w:styleId="Rimandonotaapidipagina">
    <w:name w:val="footnote reference"/>
    <w:basedOn w:val="Carpredefinitoparagrafo"/>
    <w:uiPriority w:val="99"/>
    <w:semiHidden/>
    <w:unhideWhenUsed/>
    <w:rsid w:val="00BF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b0c2cf9f63174544" /><Relationship Type="http://schemas.openxmlformats.org/officeDocument/2006/relationships/image" Target="/media/image4.jpg" Id="R819b7c743042421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A095-EE95-448D-A574-6D0912BF6F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2023-04-02T14:16:00.0000000Z</dcterms:created>
  <dcterms:modified xsi:type="dcterms:W3CDTF">2024-01-31T12:33:46.7457208Z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